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615E9C07"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032E51">
        <w:rPr>
          <w:sz w:val="56"/>
          <w:szCs w:val="56"/>
        </w:rPr>
        <w:t xml:space="preserve">International Development </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487A46EE" w:rsidR="00957067" w:rsidRDefault="00032E51" w:rsidP="00032E51">
            <w:pPr>
              <w:pStyle w:val="Heading1"/>
              <w:jc w:val="center"/>
              <w:outlineLvl w:val="0"/>
              <w:rPr>
                <w:color w:val="000000"/>
              </w:rPr>
            </w:pPr>
            <w:r>
              <w:rPr>
                <w:color w:val="auto"/>
              </w:rPr>
              <w:t>International Development</w:t>
            </w:r>
            <w:r w:rsidR="00BA449C" w:rsidRPr="008725FD">
              <w:rPr>
                <w:color w:val="auto"/>
              </w:rPr>
              <w:t xml:space="preserve"> </w:t>
            </w:r>
            <w:r w:rsidR="00957067" w:rsidRPr="008725FD">
              <w:rPr>
                <w:color w:val="auto"/>
              </w:rPr>
              <w:t>Overview</w:t>
            </w:r>
          </w:p>
        </w:tc>
      </w:tr>
      <w:tr w:rsidR="00957067" w:rsidRPr="00C913DD"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Pr="00C913DD" w:rsidRDefault="0008464C" w:rsidP="00C913DD">
            <w:pPr>
              <w:spacing w:after="120"/>
              <w:jc w:val="both"/>
              <w:rPr>
                <w:rFonts w:eastAsiaTheme="minorHAnsi" w:cstheme="minorHAnsi"/>
                <w:sz w:val="24"/>
                <w:szCs w:val="24"/>
              </w:rPr>
            </w:pPr>
          </w:p>
          <w:p w14:paraId="77190450" w14:textId="322B7BF7" w:rsidR="00A85ECC" w:rsidRPr="00C913DD" w:rsidRDefault="001922CE" w:rsidP="00C913DD">
            <w:pPr>
              <w:spacing w:after="120"/>
              <w:jc w:val="both"/>
              <w:rPr>
                <w:rFonts w:eastAsiaTheme="minorHAnsi" w:cstheme="minorHAnsi"/>
                <w:sz w:val="24"/>
                <w:szCs w:val="24"/>
                <w:highlight w:val="yellow"/>
              </w:rPr>
            </w:pPr>
            <w:bookmarkStart w:id="1" w:name="_Hlk34385785"/>
            <w:r w:rsidRPr="00C913DD">
              <w:rPr>
                <w:rFonts w:eastAsiaTheme="minorHAnsi" w:cstheme="minorHAnsi"/>
                <w:b w:val="0"/>
                <w:bCs w:val="0"/>
                <w:sz w:val="24"/>
                <w:szCs w:val="24"/>
              </w:rPr>
              <w:t>The COVID-19 pandemic is wreaking havoc around the world, with human development and gender equality outcomes on track to decline</w:t>
            </w:r>
            <w:r w:rsidR="0004113C" w:rsidRPr="00C913DD">
              <w:rPr>
                <w:rFonts w:eastAsiaTheme="minorHAnsi" w:cstheme="minorHAnsi"/>
                <w:b w:val="0"/>
                <w:bCs w:val="0"/>
                <w:sz w:val="24"/>
                <w:szCs w:val="24"/>
              </w:rPr>
              <w:t xml:space="preserve"> for the first time in decades</w:t>
            </w:r>
            <w:r w:rsidRPr="00C913DD">
              <w:rPr>
                <w:rFonts w:eastAsiaTheme="minorHAnsi" w:cstheme="minorHAnsi"/>
                <w:b w:val="0"/>
                <w:bCs w:val="0"/>
                <w:sz w:val="24"/>
                <w:szCs w:val="24"/>
              </w:rPr>
              <w:t xml:space="preserve">. </w:t>
            </w:r>
            <w:bookmarkEnd w:id="1"/>
            <w:r w:rsidR="0004113C" w:rsidRPr="00C913DD">
              <w:rPr>
                <w:rFonts w:eastAsiaTheme="minorHAnsi" w:cstheme="minorHAnsi"/>
                <w:b w:val="0"/>
                <w:bCs w:val="0"/>
                <w:sz w:val="24"/>
                <w:szCs w:val="24"/>
              </w:rPr>
              <w:t>The 2020 Federal B</w:t>
            </w:r>
            <w:r w:rsidRPr="00C913DD">
              <w:rPr>
                <w:rFonts w:eastAsiaTheme="minorHAnsi" w:cstheme="minorHAnsi"/>
                <w:b w:val="0"/>
                <w:bCs w:val="0"/>
                <w:sz w:val="24"/>
                <w:szCs w:val="24"/>
              </w:rPr>
              <w:t>udget allocates some new funding for gender equality initiatives and a package to support COVID-19 response and recovery in the Pacific – the first increase to the international development budget since 2013. However cuts to other regions</w:t>
            </w:r>
            <w:r w:rsidR="0004113C" w:rsidRPr="00C913DD">
              <w:rPr>
                <w:rFonts w:eastAsiaTheme="minorHAnsi" w:cstheme="minorHAnsi"/>
                <w:b w:val="0"/>
                <w:bCs w:val="0"/>
                <w:sz w:val="24"/>
                <w:szCs w:val="24"/>
              </w:rPr>
              <w:t xml:space="preserve"> (including conflict and post-conflict contexts)</w:t>
            </w:r>
            <w:r w:rsidRPr="00C913DD">
              <w:rPr>
                <w:rFonts w:eastAsiaTheme="minorHAnsi" w:cstheme="minorHAnsi"/>
                <w:b w:val="0"/>
                <w:bCs w:val="0"/>
                <w:sz w:val="24"/>
                <w:szCs w:val="24"/>
              </w:rPr>
              <w:t xml:space="preserve">, a reduction in budget for disability inclusion, and a significant reduction in transparency are disappointing. </w:t>
            </w:r>
          </w:p>
        </w:tc>
      </w:tr>
    </w:tbl>
    <w:p w14:paraId="7E37DFEB" w14:textId="64D85666" w:rsidR="00EB5575" w:rsidRPr="00C913DD" w:rsidRDefault="00032E51" w:rsidP="00C913DD">
      <w:pPr>
        <w:pStyle w:val="Heading1"/>
      </w:pPr>
      <w:r w:rsidRPr="00C913DD">
        <w:t>International Development</w:t>
      </w:r>
    </w:p>
    <w:p w14:paraId="409632A2" w14:textId="77777777" w:rsidR="00EB5575" w:rsidRPr="00C913DD" w:rsidRDefault="00EB5575" w:rsidP="00C913DD">
      <w:pPr>
        <w:pStyle w:val="Heading2"/>
      </w:pPr>
      <w:r w:rsidRPr="00C913DD">
        <w:t>The Budget</w:t>
      </w:r>
    </w:p>
    <w:p w14:paraId="42AAFC7A" w14:textId="0BFF455F" w:rsidR="000235F4" w:rsidRPr="00C913DD" w:rsidRDefault="00160BD4" w:rsidP="00C913DD">
      <w:pPr>
        <w:pStyle w:val="CommentText"/>
        <w:jc w:val="both"/>
        <w:rPr>
          <w:rFonts w:cstheme="minorHAnsi"/>
          <w:sz w:val="24"/>
          <w:szCs w:val="24"/>
        </w:rPr>
      </w:pPr>
      <w:r w:rsidRPr="00C913DD">
        <w:rPr>
          <w:rFonts w:cstheme="minorHAnsi"/>
          <w:sz w:val="24"/>
          <w:szCs w:val="24"/>
        </w:rPr>
        <w:t>Funding for international development has officially held steady at $4 billion this year, with a separate package of $304.7 million over two years for COVID-19 response and recovery support to the Pacific and Timor</w:t>
      </w:r>
      <w:r w:rsidR="00C913DD">
        <w:rPr>
          <w:rFonts w:cstheme="minorHAnsi"/>
          <w:sz w:val="24"/>
          <w:szCs w:val="24"/>
        </w:rPr>
        <w:t xml:space="preserve"> </w:t>
      </w:r>
      <w:proofErr w:type="spellStart"/>
      <w:r w:rsidRPr="00C913DD">
        <w:rPr>
          <w:rFonts w:cstheme="minorHAnsi"/>
          <w:sz w:val="24"/>
          <w:szCs w:val="24"/>
        </w:rPr>
        <w:t>Leste</w:t>
      </w:r>
      <w:proofErr w:type="spellEnd"/>
      <w:r w:rsidRPr="00C913DD">
        <w:rPr>
          <w:rFonts w:cstheme="minorHAnsi"/>
          <w:sz w:val="24"/>
          <w:szCs w:val="24"/>
        </w:rPr>
        <w:t xml:space="preserve">. </w:t>
      </w:r>
      <w:r w:rsidR="00A45646" w:rsidRPr="00C913DD">
        <w:rPr>
          <w:rFonts w:cstheme="minorHAnsi"/>
          <w:sz w:val="24"/>
          <w:szCs w:val="24"/>
        </w:rPr>
        <w:t xml:space="preserve">This package </w:t>
      </w:r>
      <w:r w:rsidR="000235F4" w:rsidRPr="00C913DD">
        <w:rPr>
          <w:rFonts w:cstheme="minorHAnsi"/>
          <w:sz w:val="24"/>
          <w:szCs w:val="24"/>
        </w:rPr>
        <w:t xml:space="preserve">was announced as “supplementary” to the international development budget. </w:t>
      </w:r>
      <w:r w:rsidR="00A45646" w:rsidRPr="00C913DD">
        <w:rPr>
          <w:rFonts w:cstheme="minorHAnsi"/>
          <w:sz w:val="24"/>
          <w:szCs w:val="24"/>
        </w:rPr>
        <w:t xml:space="preserve">It has been speculated that this decision </w:t>
      </w:r>
      <w:r w:rsidR="004B1386" w:rsidRPr="00C913DD">
        <w:rPr>
          <w:rFonts w:cstheme="minorHAnsi"/>
          <w:sz w:val="24"/>
          <w:szCs w:val="24"/>
        </w:rPr>
        <w:t>was taken to ring</w:t>
      </w:r>
      <w:r w:rsidR="00EE4D0B" w:rsidRPr="00C913DD">
        <w:rPr>
          <w:rFonts w:cstheme="minorHAnsi"/>
          <w:sz w:val="24"/>
          <w:szCs w:val="24"/>
        </w:rPr>
        <w:t>-</w:t>
      </w:r>
      <w:r w:rsidR="004B1386" w:rsidRPr="00C913DD">
        <w:rPr>
          <w:rFonts w:cstheme="minorHAnsi"/>
          <w:sz w:val="24"/>
          <w:szCs w:val="24"/>
        </w:rPr>
        <w:t xml:space="preserve">fence the </w:t>
      </w:r>
      <w:r w:rsidR="00A45646" w:rsidRPr="00C913DD">
        <w:rPr>
          <w:rFonts w:cstheme="minorHAnsi"/>
          <w:sz w:val="24"/>
          <w:szCs w:val="24"/>
        </w:rPr>
        <w:t xml:space="preserve">new funding from the official budget to avoid </w:t>
      </w:r>
      <w:r w:rsidR="00EE4D0B" w:rsidRPr="00C913DD">
        <w:rPr>
          <w:rFonts w:cstheme="minorHAnsi"/>
          <w:sz w:val="24"/>
          <w:szCs w:val="24"/>
        </w:rPr>
        <w:t xml:space="preserve">backlash </w:t>
      </w:r>
      <w:r w:rsidR="00A45646" w:rsidRPr="00C913DD">
        <w:rPr>
          <w:rFonts w:cstheme="minorHAnsi"/>
          <w:sz w:val="24"/>
          <w:szCs w:val="24"/>
        </w:rPr>
        <w:t>from a domestic audience (given the Government’s previous commitment to keep the international development steady at $4 billion) and to position it is a one off, temporary measure</w:t>
      </w:r>
      <w:r w:rsidR="00B75BBE" w:rsidRPr="00C913DD">
        <w:rPr>
          <w:rFonts w:cstheme="minorHAnsi"/>
          <w:sz w:val="24"/>
          <w:szCs w:val="24"/>
        </w:rPr>
        <w:t xml:space="preserve"> (</w:t>
      </w:r>
      <w:hyperlink r:id="rId11" w:history="1">
        <w:r w:rsidR="00B75BBE" w:rsidRPr="00C913DD">
          <w:rPr>
            <w:rStyle w:val="Hyperlink"/>
            <w:rFonts w:cstheme="minorHAnsi"/>
            <w:sz w:val="24"/>
            <w:szCs w:val="24"/>
          </w:rPr>
          <w:t>Howes</w:t>
        </w:r>
      </w:hyperlink>
      <w:r w:rsidR="00B75BBE" w:rsidRPr="00C913DD">
        <w:rPr>
          <w:rFonts w:cstheme="minorHAnsi"/>
          <w:sz w:val="24"/>
          <w:szCs w:val="24"/>
        </w:rPr>
        <w:t>, 2020)</w:t>
      </w:r>
      <w:r w:rsidR="00A45646" w:rsidRPr="00C913DD">
        <w:rPr>
          <w:rFonts w:cstheme="minorHAnsi"/>
          <w:sz w:val="24"/>
          <w:szCs w:val="24"/>
        </w:rPr>
        <w:t>.</w:t>
      </w:r>
    </w:p>
    <w:p w14:paraId="553FF9CC" w14:textId="466EA59F" w:rsidR="00B07FDF" w:rsidRPr="00C913DD" w:rsidRDefault="00B07FDF" w:rsidP="00C913DD">
      <w:pPr>
        <w:spacing w:line="240" w:lineRule="auto"/>
        <w:jc w:val="both"/>
        <w:rPr>
          <w:rFonts w:cstheme="minorHAnsi"/>
          <w:bCs/>
          <w:sz w:val="24"/>
          <w:szCs w:val="24"/>
        </w:rPr>
      </w:pPr>
      <w:r w:rsidRPr="00C913DD">
        <w:rPr>
          <w:rFonts w:cstheme="minorHAnsi"/>
          <w:sz w:val="24"/>
          <w:szCs w:val="24"/>
          <w:lang w:val="en-AU"/>
        </w:rPr>
        <w:t>This measure also comes on the back of significant reallocations within the international development budget since March</w:t>
      </w:r>
      <w:r w:rsidR="004B1386" w:rsidRPr="00C913DD">
        <w:rPr>
          <w:rFonts w:cstheme="minorHAnsi"/>
          <w:sz w:val="24"/>
          <w:szCs w:val="24"/>
          <w:lang w:val="en-AU"/>
        </w:rPr>
        <w:t xml:space="preserve"> 2020</w:t>
      </w:r>
      <w:r w:rsidRPr="00C913DD">
        <w:rPr>
          <w:rFonts w:cstheme="minorHAnsi"/>
          <w:sz w:val="24"/>
          <w:szCs w:val="24"/>
          <w:lang w:val="en-AU"/>
        </w:rPr>
        <w:t xml:space="preserve"> to fund COVID-19 response in the region, including a reallocation of $280m in FY2019-20. While much of this has been directed to the Pacific, it has included a </w:t>
      </w:r>
      <w:r w:rsidRPr="00C913DD">
        <w:rPr>
          <w:rFonts w:cstheme="minorHAnsi"/>
          <w:bCs/>
          <w:sz w:val="24"/>
          <w:szCs w:val="24"/>
        </w:rPr>
        <w:t xml:space="preserve">$60m package of measures to support ASEAN COVID-19 response and recovery, including research to inform how ASEAN’s COVID-19 recovery plans support the specific needs </w:t>
      </w:r>
      <w:r w:rsidR="00047280" w:rsidRPr="00C913DD">
        <w:rPr>
          <w:rFonts w:cstheme="minorHAnsi"/>
          <w:bCs/>
          <w:sz w:val="24"/>
          <w:szCs w:val="24"/>
        </w:rPr>
        <w:t>of</w:t>
      </w:r>
      <w:r w:rsidRPr="00C913DD">
        <w:rPr>
          <w:rFonts w:cstheme="minorHAnsi"/>
          <w:bCs/>
          <w:sz w:val="24"/>
          <w:szCs w:val="24"/>
        </w:rPr>
        <w:t xml:space="preserve"> women and girls, and to the Disability Rights in ASEAN initiative</w:t>
      </w:r>
      <w:r w:rsidR="00EE24D6" w:rsidRPr="00C913DD">
        <w:rPr>
          <w:rFonts w:cstheme="minorHAnsi"/>
          <w:bCs/>
          <w:sz w:val="24"/>
          <w:szCs w:val="24"/>
        </w:rPr>
        <w:t xml:space="preserve"> (</w:t>
      </w:r>
      <w:hyperlink r:id="rId12" w:history="1">
        <w:r w:rsidR="00EE4D0B" w:rsidRPr="00C913DD">
          <w:rPr>
            <w:rStyle w:val="Hyperlink"/>
            <w:rFonts w:cstheme="minorHAnsi"/>
            <w:bCs/>
            <w:sz w:val="24"/>
            <w:szCs w:val="24"/>
          </w:rPr>
          <w:t>Government of Australia</w:t>
        </w:r>
      </w:hyperlink>
      <w:r w:rsidR="00EE24D6" w:rsidRPr="00C913DD">
        <w:rPr>
          <w:rFonts w:cstheme="minorHAnsi"/>
          <w:bCs/>
          <w:sz w:val="24"/>
          <w:szCs w:val="24"/>
        </w:rPr>
        <w:t>, 2020)</w:t>
      </w:r>
      <w:r w:rsidRPr="00C913DD">
        <w:rPr>
          <w:rFonts w:cstheme="minorHAnsi"/>
          <w:bCs/>
          <w:sz w:val="24"/>
          <w:szCs w:val="24"/>
        </w:rPr>
        <w:t xml:space="preserve">. </w:t>
      </w:r>
      <w:r w:rsidR="00A45646" w:rsidRPr="00C913DD">
        <w:rPr>
          <w:rFonts w:cstheme="minorHAnsi"/>
          <w:bCs/>
          <w:sz w:val="24"/>
          <w:szCs w:val="24"/>
        </w:rPr>
        <w:t xml:space="preserve"> </w:t>
      </w:r>
    </w:p>
    <w:p w14:paraId="7A78A17A" w14:textId="7584672D" w:rsidR="00B07FDF" w:rsidRPr="00C913DD" w:rsidRDefault="00B07FDF" w:rsidP="00C913DD">
      <w:pPr>
        <w:pStyle w:val="CommentText"/>
        <w:jc w:val="both"/>
        <w:rPr>
          <w:rFonts w:cstheme="minorHAnsi"/>
          <w:bCs/>
          <w:sz w:val="24"/>
          <w:szCs w:val="24"/>
          <w:lang w:val="en-AU"/>
        </w:rPr>
      </w:pPr>
      <w:r w:rsidRPr="00C913DD">
        <w:rPr>
          <w:rFonts w:cstheme="minorHAnsi"/>
          <w:bCs/>
          <w:sz w:val="24"/>
          <w:szCs w:val="24"/>
          <w:lang w:val="en-AU"/>
        </w:rPr>
        <w:t>The Government has also delayed the repayment on a $440m loan to PNG until 2024 under the G20 Debt Service Suspension Initiative, and provided another loan in 2020-21 to PNG worth $135m</w:t>
      </w:r>
      <w:r w:rsidR="001C0601" w:rsidRPr="00C913DD">
        <w:rPr>
          <w:rFonts w:cstheme="minorHAnsi"/>
          <w:bCs/>
          <w:sz w:val="24"/>
          <w:szCs w:val="24"/>
          <w:lang w:val="en-AU"/>
        </w:rPr>
        <w:t xml:space="preserve"> (</w:t>
      </w:r>
      <w:hyperlink r:id="rId13" w:history="1">
        <w:r w:rsidR="001C0601" w:rsidRPr="00C913DD">
          <w:rPr>
            <w:rStyle w:val="Hyperlink"/>
            <w:rFonts w:cstheme="minorHAnsi"/>
            <w:bCs/>
            <w:sz w:val="24"/>
            <w:szCs w:val="24"/>
            <w:lang w:val="en-AU"/>
          </w:rPr>
          <w:t>Commonwealth of Australia</w:t>
        </w:r>
      </w:hyperlink>
      <w:r w:rsidR="001C0601" w:rsidRPr="00C913DD">
        <w:rPr>
          <w:rFonts w:cstheme="minorHAnsi"/>
          <w:bCs/>
          <w:sz w:val="24"/>
          <w:szCs w:val="24"/>
          <w:lang w:val="en-AU"/>
        </w:rPr>
        <w:t xml:space="preserve">, 2020; </w:t>
      </w:r>
      <w:hyperlink r:id="rId14" w:history="1">
        <w:r w:rsidR="001C0601" w:rsidRPr="00C913DD">
          <w:rPr>
            <w:rStyle w:val="Hyperlink"/>
            <w:rFonts w:cstheme="minorHAnsi"/>
            <w:bCs/>
            <w:sz w:val="24"/>
            <w:szCs w:val="24"/>
            <w:lang w:val="en-AU"/>
          </w:rPr>
          <w:t>Hawke</w:t>
        </w:r>
      </w:hyperlink>
      <w:r w:rsidR="001C0601" w:rsidRPr="00C913DD">
        <w:rPr>
          <w:rFonts w:cstheme="minorHAnsi"/>
          <w:bCs/>
          <w:sz w:val="24"/>
          <w:szCs w:val="24"/>
          <w:lang w:val="en-AU"/>
        </w:rPr>
        <w:t>, 2020)</w:t>
      </w:r>
      <w:r w:rsidRPr="00C913DD">
        <w:rPr>
          <w:rFonts w:cstheme="minorHAnsi"/>
          <w:bCs/>
          <w:sz w:val="24"/>
          <w:szCs w:val="24"/>
          <w:lang w:val="en-AU"/>
        </w:rPr>
        <w:t xml:space="preserve">. </w:t>
      </w:r>
    </w:p>
    <w:p w14:paraId="731AF874" w14:textId="14AAB8C5" w:rsidR="0054264B" w:rsidRPr="00C913DD" w:rsidRDefault="0054264B" w:rsidP="00C913DD">
      <w:pPr>
        <w:pStyle w:val="CommentText"/>
        <w:jc w:val="both"/>
        <w:rPr>
          <w:rFonts w:cstheme="minorHAnsi"/>
          <w:sz w:val="24"/>
          <w:szCs w:val="24"/>
        </w:rPr>
      </w:pPr>
    </w:p>
    <w:p w14:paraId="527C646A" w14:textId="2527FDA5" w:rsidR="004B31A2" w:rsidRPr="00C913DD" w:rsidRDefault="004B31A2" w:rsidP="00C913DD">
      <w:pPr>
        <w:pStyle w:val="CommentText"/>
        <w:jc w:val="both"/>
        <w:rPr>
          <w:rFonts w:cstheme="minorHAnsi"/>
          <w:sz w:val="24"/>
          <w:szCs w:val="24"/>
        </w:rPr>
      </w:pPr>
      <w:r w:rsidRPr="00C913DD">
        <w:rPr>
          <w:rFonts w:cstheme="minorHAnsi"/>
          <w:sz w:val="24"/>
          <w:szCs w:val="24"/>
        </w:rPr>
        <w:t xml:space="preserve"> </w:t>
      </w:r>
    </w:p>
    <w:p w14:paraId="52F73084" w14:textId="77777777" w:rsidR="00BC5FD3" w:rsidRDefault="004B31A2" w:rsidP="00C913DD">
      <w:pPr>
        <w:pStyle w:val="CommentText"/>
        <w:jc w:val="both"/>
        <w:rPr>
          <w:rFonts w:cstheme="minorHAnsi"/>
          <w:sz w:val="24"/>
          <w:szCs w:val="24"/>
          <w:lang w:val="en-AU"/>
        </w:rPr>
      </w:pPr>
      <w:r w:rsidRPr="00C913DD">
        <w:rPr>
          <w:rFonts w:cstheme="minorHAnsi"/>
          <w:noProof/>
          <w:sz w:val="24"/>
          <w:szCs w:val="24"/>
          <w:lang w:val="en-AU" w:eastAsia="en-AU"/>
        </w:rPr>
        <w:lastRenderedPageBreak/>
        <w:drawing>
          <wp:inline distT="0" distB="0" distL="0" distR="0" wp14:anchorId="61BCC00C" wp14:editId="7146BC50">
            <wp:extent cx="3371850" cy="1975485"/>
            <wp:effectExtent l="0" t="0" r="0" b="5715"/>
            <wp:docPr id="6" name="Picture 5" descr="A line graph demonstrating how the ODA/GNI ratio has declined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line graph demonstrating how the ODA/GNI ratio has declined over time."/>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371850" cy="1975485"/>
                    </a:xfrm>
                    <a:prstGeom prst="rect">
                      <a:avLst/>
                    </a:prstGeom>
                  </pic:spPr>
                </pic:pic>
              </a:graphicData>
            </a:graphic>
          </wp:inline>
        </w:drawing>
      </w:r>
    </w:p>
    <w:p w14:paraId="65A2FB27" w14:textId="6C60A718" w:rsidR="00E96684" w:rsidRPr="00C913DD" w:rsidRDefault="004B31A2" w:rsidP="00C913DD">
      <w:pPr>
        <w:pStyle w:val="CommentText"/>
        <w:jc w:val="both"/>
        <w:rPr>
          <w:rFonts w:cstheme="minorHAnsi"/>
          <w:sz w:val="24"/>
          <w:szCs w:val="24"/>
        </w:rPr>
      </w:pPr>
      <w:r w:rsidRPr="00C913DD">
        <w:rPr>
          <w:rFonts w:cstheme="minorHAnsi"/>
          <w:sz w:val="24"/>
          <w:szCs w:val="24"/>
          <w:lang w:val="en-AU"/>
        </w:rPr>
        <w:t>A</w:t>
      </w:r>
      <w:r w:rsidR="0080683E" w:rsidRPr="00C913DD">
        <w:rPr>
          <w:rFonts w:cstheme="minorHAnsi"/>
          <w:sz w:val="24"/>
          <w:szCs w:val="24"/>
          <w:lang w:val="en-AU"/>
        </w:rPr>
        <w:t>ustralia’s international development budget continues to stagnate against the global target that developed nations allocate 0.7</w:t>
      </w:r>
      <w:r w:rsidR="004E4D37" w:rsidRPr="00C913DD">
        <w:rPr>
          <w:rFonts w:cstheme="minorHAnsi"/>
          <w:sz w:val="24"/>
          <w:szCs w:val="24"/>
          <w:lang w:val="en-AU"/>
        </w:rPr>
        <w:t xml:space="preserve"> per cent</w:t>
      </w:r>
      <w:r w:rsidR="0080683E" w:rsidRPr="00C913DD">
        <w:rPr>
          <w:rFonts w:cstheme="minorHAnsi"/>
          <w:sz w:val="24"/>
          <w:szCs w:val="24"/>
          <w:lang w:val="en-AU"/>
        </w:rPr>
        <w:t xml:space="preserve"> of Gross National Invoice (GNI) to Official Development Assistance (ODA), now sitting at 0.21</w:t>
      </w:r>
      <w:r w:rsidR="004E4D37" w:rsidRPr="00C913DD">
        <w:rPr>
          <w:rFonts w:cstheme="minorHAnsi"/>
          <w:sz w:val="24"/>
          <w:szCs w:val="24"/>
          <w:lang w:val="en-AU"/>
        </w:rPr>
        <w:t xml:space="preserve"> per cent</w:t>
      </w:r>
      <w:r w:rsidR="0080683E" w:rsidRPr="00C913DD">
        <w:rPr>
          <w:rFonts w:cstheme="minorHAnsi"/>
          <w:sz w:val="24"/>
          <w:szCs w:val="24"/>
          <w:lang w:val="en-AU"/>
        </w:rPr>
        <w:t xml:space="preserve"> of GNI. International development spending as a proportion of all government spending has also decreased, from 0.7 to 0.6</w:t>
      </w:r>
      <w:r w:rsidR="004E4D37" w:rsidRPr="00C913DD">
        <w:rPr>
          <w:rFonts w:cstheme="minorHAnsi"/>
          <w:sz w:val="24"/>
          <w:szCs w:val="24"/>
          <w:lang w:val="en-AU"/>
        </w:rPr>
        <w:t xml:space="preserve"> per cent</w:t>
      </w:r>
      <w:r w:rsidR="0080683E" w:rsidRPr="00C913DD">
        <w:rPr>
          <w:rFonts w:cstheme="minorHAnsi"/>
          <w:sz w:val="24"/>
          <w:szCs w:val="24"/>
          <w:lang w:val="en-AU"/>
        </w:rPr>
        <w:t xml:space="preserve"> (or 60 cents in every $100) due to the significant increase in domestic spending in this year’s budget. </w:t>
      </w:r>
      <w:r w:rsidR="00E96684" w:rsidRPr="00C913DD">
        <w:rPr>
          <w:rFonts w:cstheme="minorHAnsi"/>
          <w:sz w:val="24"/>
          <w:szCs w:val="24"/>
          <w:lang w:val="en-AU"/>
        </w:rPr>
        <w:tab/>
      </w:r>
      <w:r w:rsidR="00E96684" w:rsidRPr="00C913DD">
        <w:rPr>
          <w:rFonts w:cstheme="minorHAnsi"/>
          <w:sz w:val="24"/>
          <w:szCs w:val="24"/>
          <w:lang w:val="en-AU"/>
        </w:rPr>
        <w:tab/>
      </w:r>
      <w:r w:rsidR="00E96684" w:rsidRPr="00C913DD">
        <w:rPr>
          <w:rFonts w:cstheme="minorHAnsi"/>
          <w:sz w:val="24"/>
          <w:szCs w:val="24"/>
          <w:lang w:val="en-AU"/>
        </w:rPr>
        <w:tab/>
      </w:r>
      <w:r w:rsidR="00E96684" w:rsidRPr="00C913DD">
        <w:rPr>
          <w:rFonts w:cstheme="minorHAnsi"/>
          <w:sz w:val="24"/>
          <w:szCs w:val="24"/>
          <w:lang w:val="en-AU"/>
        </w:rPr>
        <w:tab/>
      </w:r>
      <w:r w:rsidR="00E96684" w:rsidRPr="00C913DD">
        <w:rPr>
          <w:rFonts w:cstheme="minorHAnsi"/>
          <w:sz w:val="24"/>
          <w:szCs w:val="24"/>
          <w:lang w:val="en-AU"/>
        </w:rPr>
        <w:tab/>
      </w:r>
      <w:r w:rsidR="00E96684" w:rsidRPr="00C913DD">
        <w:rPr>
          <w:rFonts w:cstheme="minorHAnsi"/>
          <w:sz w:val="24"/>
          <w:szCs w:val="24"/>
          <w:lang w:val="en-AU"/>
        </w:rPr>
        <w:tab/>
      </w:r>
      <w:r w:rsidR="00E96684" w:rsidRPr="00C913DD">
        <w:rPr>
          <w:rFonts w:cstheme="minorHAnsi"/>
          <w:sz w:val="24"/>
          <w:szCs w:val="24"/>
          <w:lang w:val="en-AU"/>
        </w:rPr>
        <w:tab/>
      </w:r>
      <w:r w:rsidR="00E96684" w:rsidRPr="00C913DD">
        <w:rPr>
          <w:rFonts w:cstheme="minorHAnsi"/>
          <w:sz w:val="24"/>
          <w:szCs w:val="24"/>
        </w:rPr>
        <w:t xml:space="preserve">Source: </w:t>
      </w:r>
      <w:hyperlink r:id="rId16" w:history="1">
        <w:r w:rsidR="00E96684" w:rsidRPr="00C913DD">
          <w:rPr>
            <w:rStyle w:val="Hyperlink"/>
            <w:rFonts w:cstheme="minorHAnsi"/>
            <w:sz w:val="24"/>
            <w:szCs w:val="24"/>
          </w:rPr>
          <w:t>ACFID</w:t>
        </w:r>
      </w:hyperlink>
      <w:r w:rsidR="00E96684" w:rsidRPr="00C913DD">
        <w:rPr>
          <w:rFonts w:cstheme="minorHAnsi"/>
          <w:sz w:val="24"/>
          <w:szCs w:val="24"/>
        </w:rPr>
        <w:t xml:space="preserve"> 2020 </w:t>
      </w:r>
    </w:p>
    <w:p w14:paraId="6EF7823B" w14:textId="5B1514EB" w:rsidR="0080683E" w:rsidRPr="00C913DD" w:rsidRDefault="008B48A0" w:rsidP="0080683E">
      <w:pPr>
        <w:pStyle w:val="CommentText"/>
        <w:jc w:val="both"/>
        <w:rPr>
          <w:rFonts w:cstheme="minorHAnsi"/>
          <w:sz w:val="24"/>
          <w:szCs w:val="24"/>
        </w:rPr>
      </w:pPr>
      <w:r w:rsidRPr="00C913DD">
        <w:rPr>
          <w:rFonts w:cstheme="minorHAnsi"/>
          <w:sz w:val="24"/>
          <w:szCs w:val="24"/>
        </w:rPr>
        <w:t>By contrast, 2020 sees the biggest ever Defence budget – now 10 times the international development budget.</w:t>
      </w:r>
      <w:r w:rsidR="00203F15" w:rsidRPr="00C913DD">
        <w:rPr>
          <w:rFonts w:cstheme="minorHAnsi"/>
          <w:sz w:val="24"/>
          <w:szCs w:val="24"/>
        </w:rPr>
        <w:t xml:space="preserve"> Funding for climate partnerships has also been reduced by $5m in stark contrast to the </w:t>
      </w:r>
      <w:proofErr w:type="spellStart"/>
      <w:r w:rsidR="00203F15" w:rsidRPr="00C913DD">
        <w:rPr>
          <w:rFonts w:cstheme="minorHAnsi"/>
          <w:sz w:val="24"/>
          <w:szCs w:val="24"/>
        </w:rPr>
        <w:t>Boe</w:t>
      </w:r>
      <w:proofErr w:type="spellEnd"/>
      <w:r w:rsidR="00203F15" w:rsidRPr="00C913DD">
        <w:rPr>
          <w:rFonts w:cstheme="minorHAnsi"/>
          <w:sz w:val="24"/>
          <w:szCs w:val="24"/>
        </w:rPr>
        <w:t xml:space="preserve"> Declarations’ statement that </w:t>
      </w:r>
      <w:r w:rsidR="00203F15" w:rsidRPr="00C913DD">
        <w:rPr>
          <w:rFonts w:cstheme="minorHAnsi"/>
          <w:color w:val="000000"/>
          <w:sz w:val="24"/>
          <w:szCs w:val="24"/>
        </w:rPr>
        <w:t>“climate change remains the single greatest threat to the livelihoods, security and wellbein</w:t>
      </w:r>
      <w:r w:rsidR="007D4BD7" w:rsidRPr="00C913DD">
        <w:rPr>
          <w:rFonts w:cstheme="minorHAnsi"/>
          <w:color w:val="000000"/>
          <w:sz w:val="24"/>
          <w:szCs w:val="24"/>
        </w:rPr>
        <w:t>g of the peoples of the Pacific</w:t>
      </w:r>
      <w:r w:rsidR="00203F15" w:rsidRPr="00C913DD">
        <w:rPr>
          <w:rFonts w:cstheme="minorHAnsi"/>
          <w:color w:val="000000"/>
          <w:sz w:val="24"/>
          <w:szCs w:val="24"/>
        </w:rPr>
        <w:t>”</w:t>
      </w:r>
      <w:r w:rsidR="007D4BD7" w:rsidRPr="00C913DD">
        <w:rPr>
          <w:rFonts w:cstheme="minorHAnsi"/>
          <w:color w:val="000000"/>
          <w:sz w:val="24"/>
          <w:szCs w:val="24"/>
        </w:rPr>
        <w:t xml:space="preserve"> (</w:t>
      </w:r>
      <w:hyperlink r:id="rId17" w:history="1">
        <w:r w:rsidR="007D4BD7" w:rsidRPr="00C913DD">
          <w:rPr>
            <w:rStyle w:val="Hyperlink"/>
            <w:rFonts w:cstheme="minorHAnsi"/>
            <w:sz w:val="24"/>
            <w:szCs w:val="24"/>
          </w:rPr>
          <w:t>Pacific Islands Forum</w:t>
        </w:r>
      </w:hyperlink>
      <w:r w:rsidR="007D4BD7" w:rsidRPr="00C913DD">
        <w:rPr>
          <w:rFonts w:cstheme="minorHAnsi"/>
          <w:color w:val="000000"/>
          <w:sz w:val="24"/>
          <w:szCs w:val="24"/>
        </w:rPr>
        <w:t>, 2018).</w:t>
      </w:r>
    </w:p>
    <w:p w14:paraId="606A663F" w14:textId="77777777" w:rsidR="00AF3E26" w:rsidRPr="0069294B" w:rsidRDefault="00AF3E26" w:rsidP="00AF3E26">
      <w:pPr>
        <w:pStyle w:val="CommentText"/>
        <w:rPr>
          <w:rFonts w:ascii="Calibri" w:eastAsia="Times New Roman" w:hAnsi="Calibri" w:cs="Calibri"/>
          <w:sz w:val="18"/>
          <w:lang w:val="en-AU" w:eastAsia="en-AU"/>
        </w:rPr>
      </w:pPr>
      <w:r w:rsidRPr="0069294B">
        <w:rPr>
          <w:rFonts w:ascii="Calibri" w:eastAsia="Times New Roman" w:hAnsi="Calibri" w:cs="Calibri"/>
          <w:b/>
          <w:color w:val="000000"/>
          <w:sz w:val="22"/>
          <w:lang w:val="en-AU" w:eastAsia="en-AU"/>
        </w:rPr>
        <w:t xml:space="preserve">Australian ODA allocations by country, regional and global programs </w:t>
      </w:r>
      <w:r>
        <w:rPr>
          <w:rFonts w:ascii="Calibri" w:eastAsia="Times New Roman" w:hAnsi="Calibri" w:cs="Calibri"/>
          <w:b/>
          <w:color w:val="000000"/>
          <w:sz w:val="22"/>
          <w:lang w:val="en-AU" w:eastAsia="en-AU"/>
        </w:rPr>
        <w:br/>
      </w:r>
      <w:r w:rsidRPr="0069294B">
        <w:rPr>
          <w:rFonts w:ascii="Calibri" w:eastAsia="Times New Roman" w:hAnsi="Calibri" w:cs="Calibri"/>
          <w:sz w:val="18"/>
          <w:lang w:val="en-AU" w:eastAsia="en-AU"/>
        </w:rPr>
        <w:t>Expense ($m)</w:t>
      </w:r>
    </w:p>
    <w:tbl>
      <w:tblPr>
        <w:tblW w:w="5000" w:type="pct"/>
        <w:tblLook w:val="04A0" w:firstRow="1" w:lastRow="0" w:firstColumn="1" w:lastColumn="0" w:noHBand="0" w:noVBand="1"/>
      </w:tblPr>
      <w:tblGrid>
        <w:gridCol w:w="4536"/>
        <w:gridCol w:w="2411"/>
        <w:gridCol w:w="2413"/>
      </w:tblGrid>
      <w:tr w:rsidR="00AF3E26" w:rsidRPr="00160BD4" w14:paraId="1B11CA84" w14:textId="77777777" w:rsidTr="00954C04">
        <w:trPr>
          <w:trHeight w:val="275"/>
        </w:trPr>
        <w:tc>
          <w:tcPr>
            <w:tcW w:w="2423" w:type="pct"/>
            <w:tcBorders>
              <w:top w:val="single" w:sz="4" w:space="0" w:color="auto"/>
              <w:left w:val="nil"/>
              <w:bottom w:val="single" w:sz="4" w:space="0" w:color="auto"/>
              <w:right w:val="nil"/>
            </w:tcBorders>
          </w:tcPr>
          <w:p w14:paraId="6CE165C3" w14:textId="77777777" w:rsidR="00AF3E26" w:rsidRPr="00160BD4" w:rsidRDefault="00AF3E26" w:rsidP="00954C04">
            <w:pPr>
              <w:keepNext/>
              <w:keepLines/>
              <w:spacing w:before="40" w:after="40" w:line="240" w:lineRule="auto"/>
              <w:jc w:val="right"/>
              <w:rPr>
                <w:rFonts w:ascii="Calibri" w:eastAsia="Times New Roman" w:hAnsi="Calibri" w:cs="Calibri"/>
                <w:sz w:val="20"/>
                <w:szCs w:val="20"/>
                <w:lang w:val="en-AU" w:eastAsia="en-AU"/>
              </w:rPr>
            </w:pPr>
          </w:p>
        </w:tc>
        <w:tc>
          <w:tcPr>
            <w:tcW w:w="1288" w:type="pct"/>
            <w:tcBorders>
              <w:top w:val="single" w:sz="4" w:space="0" w:color="auto"/>
              <w:left w:val="nil"/>
              <w:bottom w:val="single" w:sz="4" w:space="0" w:color="auto"/>
              <w:right w:val="nil"/>
            </w:tcBorders>
            <w:hideMark/>
          </w:tcPr>
          <w:p w14:paraId="1E09D2BE" w14:textId="77777777" w:rsidR="00AF3E26" w:rsidRPr="00160BD4" w:rsidRDefault="00AF3E26" w:rsidP="00954C04">
            <w:pPr>
              <w:keepNext/>
              <w:keepLines/>
              <w:spacing w:before="40" w:after="40" w:line="240" w:lineRule="auto"/>
              <w:jc w:val="right"/>
              <w:rPr>
                <w:rFonts w:ascii="Calibri" w:eastAsia="Times New Roman" w:hAnsi="Calibri" w:cs="Calibri"/>
                <w:b/>
                <w:sz w:val="20"/>
                <w:szCs w:val="20"/>
                <w:lang w:val="en-AU" w:eastAsia="en-AU"/>
              </w:rPr>
            </w:pPr>
            <w:r w:rsidRPr="00160BD4">
              <w:rPr>
                <w:rFonts w:ascii="Calibri" w:eastAsia="Times New Roman" w:hAnsi="Calibri" w:cs="Calibri"/>
                <w:b/>
                <w:sz w:val="20"/>
                <w:szCs w:val="20"/>
                <w:lang w:val="en-AU" w:eastAsia="en-AU"/>
              </w:rPr>
              <w:t>2019-20 Budget estimate</w:t>
            </w:r>
          </w:p>
        </w:tc>
        <w:tc>
          <w:tcPr>
            <w:tcW w:w="1290" w:type="pct"/>
            <w:tcBorders>
              <w:top w:val="single" w:sz="4" w:space="0" w:color="auto"/>
              <w:left w:val="nil"/>
              <w:bottom w:val="single" w:sz="4" w:space="0" w:color="auto"/>
              <w:right w:val="nil"/>
            </w:tcBorders>
            <w:hideMark/>
          </w:tcPr>
          <w:p w14:paraId="79E681E3" w14:textId="77777777" w:rsidR="00AF3E26" w:rsidRPr="00160BD4" w:rsidRDefault="00AF3E26" w:rsidP="00954C04">
            <w:pPr>
              <w:keepNext/>
              <w:keepLines/>
              <w:spacing w:before="40" w:after="40" w:line="240" w:lineRule="auto"/>
              <w:jc w:val="right"/>
              <w:rPr>
                <w:rFonts w:ascii="Calibri" w:eastAsia="Times New Roman" w:hAnsi="Calibri" w:cs="Calibri"/>
                <w:b/>
                <w:sz w:val="20"/>
                <w:szCs w:val="20"/>
                <w:lang w:val="en-AU" w:eastAsia="en-AU"/>
              </w:rPr>
            </w:pPr>
            <w:r w:rsidRPr="00160BD4">
              <w:rPr>
                <w:rFonts w:ascii="Calibri" w:eastAsia="Times New Roman" w:hAnsi="Calibri" w:cs="Calibri"/>
                <w:b/>
                <w:sz w:val="20"/>
                <w:szCs w:val="20"/>
                <w:lang w:val="en-AU" w:eastAsia="en-AU"/>
              </w:rPr>
              <w:t>2020-21 Budget estimate</w:t>
            </w:r>
          </w:p>
        </w:tc>
      </w:tr>
      <w:tr w:rsidR="00AF3E26" w:rsidRPr="00160BD4" w14:paraId="050E03B1" w14:textId="77777777" w:rsidTr="00954C04">
        <w:trPr>
          <w:trHeight w:val="292"/>
        </w:trPr>
        <w:tc>
          <w:tcPr>
            <w:tcW w:w="2423" w:type="pct"/>
            <w:tcBorders>
              <w:top w:val="single" w:sz="4" w:space="0" w:color="auto"/>
              <w:left w:val="nil"/>
              <w:bottom w:val="single" w:sz="4" w:space="0" w:color="auto"/>
              <w:right w:val="nil"/>
            </w:tcBorders>
            <w:hideMark/>
          </w:tcPr>
          <w:p w14:paraId="1492F6E8" w14:textId="77777777" w:rsidR="00AF3E26" w:rsidRPr="00160BD4" w:rsidRDefault="00AF3E26" w:rsidP="00954C04">
            <w:pPr>
              <w:keepNext/>
              <w:keepLines/>
              <w:spacing w:before="40" w:after="40" w:line="240" w:lineRule="auto"/>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Pacific</w:t>
            </w:r>
          </w:p>
        </w:tc>
        <w:tc>
          <w:tcPr>
            <w:tcW w:w="1288" w:type="pct"/>
            <w:tcBorders>
              <w:top w:val="single" w:sz="4" w:space="0" w:color="auto"/>
              <w:left w:val="nil"/>
              <w:bottom w:val="single" w:sz="4" w:space="0" w:color="auto"/>
              <w:right w:val="nil"/>
            </w:tcBorders>
            <w:hideMark/>
          </w:tcPr>
          <w:p w14:paraId="6516EAA9" w14:textId="77777777" w:rsidR="00AF3E26" w:rsidRPr="00160BD4" w:rsidRDefault="00AF3E26" w:rsidP="00954C04">
            <w:pPr>
              <w:keepNext/>
              <w:keepLines/>
              <w:spacing w:before="40" w:after="40" w:line="240" w:lineRule="auto"/>
              <w:jc w:val="right"/>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1,381.4</w:t>
            </w:r>
          </w:p>
        </w:tc>
        <w:tc>
          <w:tcPr>
            <w:tcW w:w="1290" w:type="pct"/>
            <w:tcBorders>
              <w:top w:val="single" w:sz="4" w:space="0" w:color="auto"/>
              <w:left w:val="nil"/>
              <w:bottom w:val="single" w:sz="4" w:space="0" w:color="auto"/>
              <w:right w:val="nil"/>
            </w:tcBorders>
            <w:hideMark/>
          </w:tcPr>
          <w:p w14:paraId="3B354111" w14:textId="77777777" w:rsidR="00AF3E26" w:rsidRPr="00160BD4" w:rsidRDefault="00AF3E26" w:rsidP="00954C04">
            <w:pPr>
              <w:keepNext/>
              <w:keepLines/>
              <w:spacing w:before="40" w:after="40" w:line="240" w:lineRule="auto"/>
              <w:jc w:val="right"/>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1,440.6</w:t>
            </w:r>
          </w:p>
        </w:tc>
      </w:tr>
      <w:tr w:rsidR="00AF3E26" w:rsidRPr="00160BD4" w14:paraId="6222F348" w14:textId="77777777" w:rsidTr="00954C04">
        <w:trPr>
          <w:trHeight w:val="275"/>
        </w:trPr>
        <w:tc>
          <w:tcPr>
            <w:tcW w:w="2423" w:type="pct"/>
            <w:tcBorders>
              <w:top w:val="single" w:sz="4" w:space="0" w:color="auto"/>
              <w:left w:val="nil"/>
              <w:bottom w:val="single" w:sz="4" w:space="0" w:color="auto"/>
              <w:right w:val="nil"/>
            </w:tcBorders>
            <w:hideMark/>
          </w:tcPr>
          <w:p w14:paraId="05B060F7" w14:textId="77777777" w:rsidR="00AF3E26" w:rsidRPr="00160BD4" w:rsidRDefault="00AF3E26" w:rsidP="00954C04">
            <w:pPr>
              <w:keepNext/>
              <w:keepLines/>
              <w:spacing w:before="40" w:after="40" w:line="240" w:lineRule="auto"/>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Southeast and East Asia</w:t>
            </w:r>
          </w:p>
        </w:tc>
        <w:tc>
          <w:tcPr>
            <w:tcW w:w="1288" w:type="pct"/>
            <w:tcBorders>
              <w:top w:val="single" w:sz="4" w:space="0" w:color="auto"/>
              <w:left w:val="nil"/>
              <w:bottom w:val="single" w:sz="4" w:space="0" w:color="auto"/>
              <w:right w:val="nil"/>
            </w:tcBorders>
            <w:hideMark/>
          </w:tcPr>
          <w:p w14:paraId="5A849807" w14:textId="77777777" w:rsidR="00AF3E26" w:rsidRPr="00160BD4" w:rsidRDefault="00AF3E26" w:rsidP="00954C04">
            <w:pPr>
              <w:keepNext/>
              <w:keepLines/>
              <w:spacing w:before="40" w:after="40" w:line="240" w:lineRule="auto"/>
              <w:jc w:val="right"/>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1,005.8</w:t>
            </w:r>
          </w:p>
        </w:tc>
        <w:tc>
          <w:tcPr>
            <w:tcW w:w="1290" w:type="pct"/>
            <w:tcBorders>
              <w:top w:val="single" w:sz="4" w:space="0" w:color="auto"/>
              <w:left w:val="nil"/>
              <w:bottom w:val="single" w:sz="4" w:space="0" w:color="auto"/>
              <w:right w:val="nil"/>
            </w:tcBorders>
            <w:hideMark/>
          </w:tcPr>
          <w:p w14:paraId="2BC93C81" w14:textId="77777777" w:rsidR="00AF3E26" w:rsidRPr="00160BD4" w:rsidRDefault="00AF3E26" w:rsidP="00954C04">
            <w:pPr>
              <w:keepNext/>
              <w:keepLines/>
              <w:spacing w:before="40" w:after="40" w:line="240" w:lineRule="auto"/>
              <w:jc w:val="right"/>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1,009.9</w:t>
            </w:r>
          </w:p>
        </w:tc>
      </w:tr>
      <w:tr w:rsidR="00AF3E26" w:rsidRPr="00160BD4" w14:paraId="5213DDDC" w14:textId="77777777" w:rsidTr="00954C04">
        <w:trPr>
          <w:trHeight w:val="275"/>
        </w:trPr>
        <w:tc>
          <w:tcPr>
            <w:tcW w:w="2423" w:type="pct"/>
            <w:tcBorders>
              <w:top w:val="single" w:sz="4" w:space="0" w:color="auto"/>
              <w:left w:val="nil"/>
              <w:bottom w:val="single" w:sz="4" w:space="0" w:color="auto"/>
              <w:right w:val="nil"/>
            </w:tcBorders>
          </w:tcPr>
          <w:p w14:paraId="71DC09DD" w14:textId="77777777" w:rsidR="00AF3E26" w:rsidRPr="00160BD4" w:rsidRDefault="00AF3E26" w:rsidP="00954C04">
            <w:pPr>
              <w:keepNext/>
              <w:keepLines/>
              <w:spacing w:before="40" w:after="40" w:line="240" w:lineRule="auto"/>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South and West Asia</w:t>
            </w:r>
          </w:p>
        </w:tc>
        <w:tc>
          <w:tcPr>
            <w:tcW w:w="1288" w:type="pct"/>
            <w:tcBorders>
              <w:top w:val="single" w:sz="4" w:space="0" w:color="auto"/>
              <w:left w:val="nil"/>
              <w:bottom w:val="single" w:sz="4" w:space="0" w:color="auto"/>
              <w:right w:val="nil"/>
            </w:tcBorders>
          </w:tcPr>
          <w:p w14:paraId="21735507" w14:textId="77777777" w:rsidR="00AF3E26" w:rsidRPr="00160BD4" w:rsidRDefault="00AF3E26" w:rsidP="00954C04">
            <w:pPr>
              <w:keepNext/>
              <w:keepLines/>
              <w:spacing w:before="40" w:after="40" w:line="240" w:lineRule="auto"/>
              <w:jc w:val="right"/>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266.2</w:t>
            </w:r>
          </w:p>
        </w:tc>
        <w:tc>
          <w:tcPr>
            <w:tcW w:w="1290" w:type="pct"/>
            <w:tcBorders>
              <w:top w:val="single" w:sz="4" w:space="0" w:color="auto"/>
              <w:left w:val="nil"/>
              <w:bottom w:val="single" w:sz="4" w:space="0" w:color="auto"/>
              <w:right w:val="nil"/>
            </w:tcBorders>
          </w:tcPr>
          <w:p w14:paraId="6091BD31" w14:textId="77777777" w:rsidR="00AF3E26" w:rsidRPr="00160BD4" w:rsidRDefault="00AF3E26" w:rsidP="00954C04">
            <w:pPr>
              <w:keepNext/>
              <w:keepLines/>
              <w:spacing w:before="40" w:after="40" w:line="240" w:lineRule="auto"/>
              <w:jc w:val="right"/>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193.4</w:t>
            </w:r>
          </w:p>
        </w:tc>
      </w:tr>
      <w:tr w:rsidR="00AF3E26" w:rsidRPr="00160BD4" w14:paraId="4305F775" w14:textId="77777777" w:rsidTr="00954C04">
        <w:trPr>
          <w:trHeight w:val="275"/>
        </w:trPr>
        <w:tc>
          <w:tcPr>
            <w:tcW w:w="2423" w:type="pct"/>
            <w:tcBorders>
              <w:top w:val="single" w:sz="4" w:space="0" w:color="auto"/>
              <w:left w:val="nil"/>
              <w:bottom w:val="single" w:sz="4" w:space="0" w:color="auto"/>
              <w:right w:val="nil"/>
            </w:tcBorders>
          </w:tcPr>
          <w:p w14:paraId="5F3331B0" w14:textId="77777777" w:rsidR="00AF3E26" w:rsidRPr="00160BD4" w:rsidRDefault="00AF3E26" w:rsidP="00954C04">
            <w:pPr>
              <w:keepNext/>
              <w:keepLines/>
              <w:spacing w:before="40" w:after="40" w:line="240" w:lineRule="auto"/>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The Middle East and Africa</w:t>
            </w:r>
          </w:p>
        </w:tc>
        <w:tc>
          <w:tcPr>
            <w:tcW w:w="1288" w:type="pct"/>
            <w:tcBorders>
              <w:top w:val="single" w:sz="4" w:space="0" w:color="auto"/>
              <w:left w:val="nil"/>
              <w:bottom w:val="single" w:sz="4" w:space="0" w:color="auto"/>
              <w:right w:val="nil"/>
            </w:tcBorders>
          </w:tcPr>
          <w:p w14:paraId="4A0614F0" w14:textId="77777777" w:rsidR="00AF3E26" w:rsidRPr="00160BD4" w:rsidRDefault="00AF3E26" w:rsidP="00954C04">
            <w:pPr>
              <w:keepNext/>
              <w:keepLines/>
              <w:spacing w:before="40" w:after="40" w:line="240" w:lineRule="auto"/>
              <w:jc w:val="right"/>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199.8</w:t>
            </w:r>
          </w:p>
        </w:tc>
        <w:tc>
          <w:tcPr>
            <w:tcW w:w="1290" w:type="pct"/>
            <w:tcBorders>
              <w:top w:val="single" w:sz="4" w:space="0" w:color="auto"/>
              <w:left w:val="nil"/>
              <w:bottom w:val="single" w:sz="4" w:space="0" w:color="auto"/>
              <w:right w:val="nil"/>
            </w:tcBorders>
          </w:tcPr>
          <w:p w14:paraId="665E1985" w14:textId="77777777" w:rsidR="00AF3E26" w:rsidRPr="00160BD4" w:rsidRDefault="00AF3E26" w:rsidP="00954C04">
            <w:pPr>
              <w:keepNext/>
              <w:keepLines/>
              <w:spacing w:before="40" w:after="40" w:line="240" w:lineRule="auto"/>
              <w:jc w:val="right"/>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93.4</w:t>
            </w:r>
          </w:p>
        </w:tc>
      </w:tr>
      <w:tr w:rsidR="00AF3E26" w:rsidRPr="00160BD4" w14:paraId="43A03EDF" w14:textId="77777777" w:rsidTr="00954C04">
        <w:trPr>
          <w:trHeight w:val="275"/>
        </w:trPr>
        <w:tc>
          <w:tcPr>
            <w:tcW w:w="2423" w:type="pct"/>
            <w:tcBorders>
              <w:top w:val="single" w:sz="4" w:space="0" w:color="auto"/>
              <w:left w:val="nil"/>
              <w:bottom w:val="single" w:sz="4" w:space="0" w:color="auto"/>
              <w:right w:val="nil"/>
            </w:tcBorders>
          </w:tcPr>
          <w:p w14:paraId="56F30BCF" w14:textId="77777777" w:rsidR="00AF3E26" w:rsidRPr="00160BD4" w:rsidRDefault="00AF3E26" w:rsidP="00954C04">
            <w:pPr>
              <w:keepNext/>
              <w:keepLines/>
              <w:spacing w:before="40" w:after="40" w:line="240" w:lineRule="auto"/>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 xml:space="preserve">Latin America and the Caribbean </w:t>
            </w:r>
          </w:p>
        </w:tc>
        <w:tc>
          <w:tcPr>
            <w:tcW w:w="1288" w:type="pct"/>
            <w:tcBorders>
              <w:top w:val="single" w:sz="4" w:space="0" w:color="auto"/>
              <w:left w:val="nil"/>
              <w:bottom w:val="single" w:sz="4" w:space="0" w:color="auto"/>
              <w:right w:val="nil"/>
            </w:tcBorders>
          </w:tcPr>
          <w:p w14:paraId="4518E8E7" w14:textId="77777777" w:rsidR="00AF3E26" w:rsidRPr="00160BD4" w:rsidRDefault="00AF3E26" w:rsidP="00954C04">
            <w:pPr>
              <w:keepNext/>
              <w:keepLines/>
              <w:spacing w:before="40" w:after="40" w:line="240" w:lineRule="auto"/>
              <w:jc w:val="right"/>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3.3</w:t>
            </w:r>
          </w:p>
        </w:tc>
        <w:tc>
          <w:tcPr>
            <w:tcW w:w="1290" w:type="pct"/>
            <w:tcBorders>
              <w:top w:val="single" w:sz="4" w:space="0" w:color="auto"/>
              <w:left w:val="nil"/>
              <w:bottom w:val="single" w:sz="4" w:space="0" w:color="auto"/>
              <w:right w:val="nil"/>
            </w:tcBorders>
          </w:tcPr>
          <w:p w14:paraId="67ABC48D" w14:textId="77777777" w:rsidR="00AF3E26" w:rsidRPr="00160BD4" w:rsidRDefault="00AF3E26" w:rsidP="00954C04">
            <w:pPr>
              <w:keepNext/>
              <w:keepLines/>
              <w:spacing w:before="40" w:after="40" w:line="240" w:lineRule="auto"/>
              <w:jc w:val="right"/>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2.5</w:t>
            </w:r>
          </w:p>
        </w:tc>
      </w:tr>
      <w:tr w:rsidR="00AF3E26" w:rsidRPr="00160BD4" w14:paraId="299BAD9F" w14:textId="77777777" w:rsidTr="00954C04">
        <w:trPr>
          <w:trHeight w:val="275"/>
        </w:trPr>
        <w:tc>
          <w:tcPr>
            <w:tcW w:w="2423" w:type="pct"/>
            <w:tcBorders>
              <w:top w:val="single" w:sz="4" w:space="0" w:color="auto"/>
              <w:left w:val="nil"/>
              <w:bottom w:val="single" w:sz="4" w:space="0" w:color="auto"/>
              <w:right w:val="nil"/>
            </w:tcBorders>
          </w:tcPr>
          <w:p w14:paraId="7598CF32" w14:textId="77777777" w:rsidR="00AF3E26" w:rsidRPr="00160BD4" w:rsidRDefault="00AF3E26" w:rsidP="00954C04">
            <w:pPr>
              <w:keepNext/>
              <w:keepLines/>
              <w:spacing w:before="40" w:after="40" w:line="240" w:lineRule="auto"/>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Core contributions to multilaterals and other ODA not attributable to particular countries or regions</w:t>
            </w:r>
          </w:p>
        </w:tc>
        <w:tc>
          <w:tcPr>
            <w:tcW w:w="1288" w:type="pct"/>
            <w:tcBorders>
              <w:top w:val="single" w:sz="4" w:space="0" w:color="auto"/>
              <w:left w:val="nil"/>
              <w:bottom w:val="single" w:sz="4" w:space="0" w:color="auto"/>
              <w:right w:val="nil"/>
            </w:tcBorders>
          </w:tcPr>
          <w:p w14:paraId="0251975F" w14:textId="77777777" w:rsidR="00AF3E26" w:rsidRPr="00160BD4" w:rsidRDefault="00AF3E26" w:rsidP="00954C04">
            <w:pPr>
              <w:keepNext/>
              <w:keepLines/>
              <w:spacing w:before="40" w:after="40" w:line="240" w:lineRule="auto"/>
              <w:jc w:val="right"/>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1,187.4</w:t>
            </w:r>
          </w:p>
        </w:tc>
        <w:tc>
          <w:tcPr>
            <w:tcW w:w="1290" w:type="pct"/>
            <w:tcBorders>
              <w:top w:val="single" w:sz="4" w:space="0" w:color="auto"/>
              <w:left w:val="nil"/>
              <w:bottom w:val="single" w:sz="4" w:space="0" w:color="auto"/>
              <w:right w:val="nil"/>
            </w:tcBorders>
          </w:tcPr>
          <w:p w14:paraId="0F28C1B3" w14:textId="77777777" w:rsidR="00AF3E26" w:rsidRPr="00160BD4" w:rsidRDefault="00AF3E26" w:rsidP="00954C04">
            <w:pPr>
              <w:keepNext/>
              <w:keepLines/>
              <w:spacing w:before="40" w:after="40" w:line="240" w:lineRule="auto"/>
              <w:jc w:val="right"/>
              <w:rPr>
                <w:rFonts w:ascii="Calibri" w:eastAsia="Times New Roman" w:hAnsi="Calibri" w:cs="Calibri"/>
                <w:sz w:val="20"/>
                <w:szCs w:val="20"/>
                <w:lang w:val="en-AU" w:eastAsia="en-AU"/>
              </w:rPr>
            </w:pPr>
            <w:r w:rsidRPr="00160BD4">
              <w:rPr>
                <w:rFonts w:ascii="Calibri" w:eastAsia="Times New Roman" w:hAnsi="Calibri" w:cs="Calibri"/>
                <w:sz w:val="20"/>
                <w:szCs w:val="20"/>
                <w:lang w:val="en-AU" w:eastAsia="en-AU"/>
              </w:rPr>
              <w:t>1,260.6</w:t>
            </w:r>
          </w:p>
        </w:tc>
      </w:tr>
      <w:tr w:rsidR="00AF3E26" w:rsidRPr="00160BD4" w14:paraId="73237313" w14:textId="77777777" w:rsidTr="00954C04">
        <w:trPr>
          <w:trHeight w:val="275"/>
        </w:trPr>
        <w:tc>
          <w:tcPr>
            <w:tcW w:w="2423" w:type="pct"/>
            <w:tcBorders>
              <w:top w:val="single" w:sz="4" w:space="0" w:color="auto"/>
              <w:left w:val="nil"/>
              <w:bottom w:val="single" w:sz="4" w:space="0" w:color="auto"/>
              <w:right w:val="nil"/>
            </w:tcBorders>
            <w:hideMark/>
          </w:tcPr>
          <w:p w14:paraId="54608314" w14:textId="77777777" w:rsidR="00AF3E26" w:rsidRPr="00160BD4" w:rsidRDefault="00AF3E26" w:rsidP="00954C04">
            <w:pPr>
              <w:keepNext/>
              <w:keepLines/>
              <w:spacing w:before="40" w:after="40" w:line="240" w:lineRule="auto"/>
              <w:rPr>
                <w:rFonts w:ascii="Calibri" w:eastAsia="Times New Roman" w:hAnsi="Calibri" w:cs="Calibri"/>
                <w:b/>
                <w:sz w:val="20"/>
                <w:szCs w:val="20"/>
                <w:lang w:val="en-AU" w:eastAsia="en-AU"/>
              </w:rPr>
            </w:pPr>
            <w:r w:rsidRPr="00160BD4">
              <w:rPr>
                <w:rFonts w:ascii="Calibri" w:eastAsia="Times New Roman" w:hAnsi="Calibri" w:cs="Calibri"/>
                <w:b/>
                <w:sz w:val="20"/>
                <w:szCs w:val="20"/>
                <w:lang w:val="en-AU" w:eastAsia="en-AU"/>
              </w:rPr>
              <w:t xml:space="preserve">Total </w:t>
            </w:r>
          </w:p>
        </w:tc>
        <w:tc>
          <w:tcPr>
            <w:tcW w:w="1288" w:type="pct"/>
            <w:tcBorders>
              <w:top w:val="single" w:sz="4" w:space="0" w:color="auto"/>
              <w:left w:val="nil"/>
              <w:bottom w:val="single" w:sz="4" w:space="0" w:color="auto"/>
              <w:right w:val="nil"/>
            </w:tcBorders>
          </w:tcPr>
          <w:p w14:paraId="159179B3" w14:textId="77777777" w:rsidR="00AF3E26" w:rsidRPr="00160BD4" w:rsidRDefault="00AF3E26" w:rsidP="00954C04">
            <w:pPr>
              <w:keepNext/>
              <w:keepLines/>
              <w:spacing w:before="40" w:after="40" w:line="240" w:lineRule="auto"/>
              <w:jc w:val="right"/>
              <w:rPr>
                <w:rFonts w:ascii="Calibri" w:eastAsia="Times New Roman" w:hAnsi="Calibri" w:cs="Calibri"/>
                <w:b/>
                <w:sz w:val="20"/>
                <w:szCs w:val="20"/>
                <w:lang w:val="en-AU" w:eastAsia="en-AU"/>
              </w:rPr>
            </w:pPr>
            <w:r w:rsidRPr="00160BD4">
              <w:rPr>
                <w:rFonts w:ascii="Calibri" w:eastAsia="Times New Roman" w:hAnsi="Calibri" w:cs="Calibri"/>
                <w:b/>
                <w:sz w:val="20"/>
                <w:szCs w:val="20"/>
                <w:lang w:val="en-AU" w:eastAsia="en-AU"/>
              </w:rPr>
              <w:t>4,040.00</w:t>
            </w:r>
          </w:p>
        </w:tc>
        <w:tc>
          <w:tcPr>
            <w:tcW w:w="1290" w:type="pct"/>
            <w:tcBorders>
              <w:top w:val="single" w:sz="4" w:space="0" w:color="auto"/>
              <w:left w:val="nil"/>
              <w:bottom w:val="single" w:sz="4" w:space="0" w:color="auto"/>
              <w:right w:val="nil"/>
            </w:tcBorders>
          </w:tcPr>
          <w:p w14:paraId="08F67CEE" w14:textId="77777777" w:rsidR="00AF3E26" w:rsidRPr="00160BD4" w:rsidRDefault="00AF3E26" w:rsidP="00954C04">
            <w:pPr>
              <w:keepNext/>
              <w:keepLines/>
              <w:spacing w:before="40" w:after="40" w:line="240" w:lineRule="auto"/>
              <w:jc w:val="right"/>
              <w:rPr>
                <w:rFonts w:ascii="Calibri" w:eastAsia="Times New Roman" w:hAnsi="Calibri" w:cs="Calibri"/>
                <w:b/>
                <w:sz w:val="20"/>
                <w:szCs w:val="20"/>
                <w:lang w:val="en-AU" w:eastAsia="en-AU"/>
              </w:rPr>
            </w:pPr>
            <w:r w:rsidRPr="00160BD4">
              <w:rPr>
                <w:rFonts w:ascii="Calibri" w:eastAsia="Times New Roman" w:hAnsi="Calibri" w:cs="Calibri"/>
                <w:b/>
                <w:sz w:val="20"/>
                <w:szCs w:val="20"/>
                <w:lang w:val="en-AU" w:eastAsia="en-AU"/>
              </w:rPr>
              <w:t>4,000.00</w:t>
            </w:r>
          </w:p>
        </w:tc>
      </w:tr>
    </w:tbl>
    <w:p w14:paraId="32029E15" w14:textId="499A8BB3" w:rsidR="00AF3E26" w:rsidRPr="00160BD4" w:rsidRDefault="00AF3E26" w:rsidP="00AF3E26">
      <w:pPr>
        <w:rPr>
          <w:rFonts w:ascii="Calibri" w:hAnsi="Calibri" w:cs="Calibri"/>
          <w:sz w:val="20"/>
          <w:szCs w:val="24"/>
        </w:rPr>
      </w:pPr>
      <w:r w:rsidRPr="00160BD4">
        <w:rPr>
          <w:rFonts w:ascii="Calibri" w:hAnsi="Calibri" w:cs="Calibri"/>
          <w:sz w:val="20"/>
          <w:szCs w:val="24"/>
        </w:rPr>
        <w:t xml:space="preserve">Source: </w:t>
      </w:r>
      <w:hyperlink r:id="rId18" w:history="1">
        <w:r w:rsidRPr="007D4BD7">
          <w:rPr>
            <w:rStyle w:val="Hyperlink"/>
            <w:rFonts w:ascii="Calibri" w:hAnsi="Calibri" w:cs="Calibri"/>
            <w:sz w:val="20"/>
            <w:szCs w:val="24"/>
          </w:rPr>
          <w:t>DFAT</w:t>
        </w:r>
      </w:hyperlink>
      <w:r w:rsidRPr="00160BD4">
        <w:rPr>
          <w:rFonts w:ascii="Calibri" w:hAnsi="Calibri" w:cs="Calibri"/>
          <w:sz w:val="20"/>
          <w:szCs w:val="24"/>
        </w:rPr>
        <w:t>, 2020, Aid budget summary, Table 2</w:t>
      </w:r>
    </w:p>
    <w:p w14:paraId="63D00606" w14:textId="671800A2" w:rsidR="00AF3E26" w:rsidRPr="00C913DD" w:rsidRDefault="00AF3E26" w:rsidP="00C913DD">
      <w:pPr>
        <w:pStyle w:val="CommentText"/>
        <w:jc w:val="both"/>
        <w:rPr>
          <w:rFonts w:cstheme="minorHAnsi"/>
          <w:sz w:val="24"/>
          <w:szCs w:val="24"/>
        </w:rPr>
      </w:pPr>
      <w:r w:rsidRPr="00C913DD">
        <w:rPr>
          <w:rFonts w:cstheme="minorHAnsi"/>
          <w:sz w:val="24"/>
          <w:szCs w:val="24"/>
        </w:rPr>
        <w:t>Allocations to the Pacific have increased – even before the supplementary funding is factored in – with the Pacific now receiving over 40</w:t>
      </w:r>
      <w:r w:rsidR="004E4D37" w:rsidRPr="00C913DD">
        <w:rPr>
          <w:rFonts w:cstheme="minorHAnsi"/>
          <w:sz w:val="24"/>
          <w:szCs w:val="24"/>
        </w:rPr>
        <w:t xml:space="preserve"> per cent</w:t>
      </w:r>
      <w:r w:rsidRPr="00C913DD">
        <w:rPr>
          <w:rFonts w:cstheme="minorHAnsi"/>
          <w:sz w:val="24"/>
          <w:szCs w:val="24"/>
        </w:rPr>
        <w:t xml:space="preserve"> of all aid funding, further cementing DFAT’s focus on the immediate region. However this increase comes at the expense of funding to other regions, particularly conflict and post conflict settings where women’s rights are under threat in South and West Asia, the Middle East and Africa, with aid to Afghanistan being cut by 35</w:t>
      </w:r>
      <w:r w:rsidR="004E4D37" w:rsidRPr="00C913DD">
        <w:rPr>
          <w:rFonts w:cstheme="minorHAnsi"/>
          <w:sz w:val="24"/>
          <w:szCs w:val="24"/>
        </w:rPr>
        <w:t xml:space="preserve"> per cent</w:t>
      </w:r>
      <w:r w:rsidRPr="00C913DD">
        <w:rPr>
          <w:rFonts w:cstheme="minorHAnsi"/>
          <w:sz w:val="24"/>
          <w:szCs w:val="24"/>
        </w:rPr>
        <w:t xml:space="preserve">. </w:t>
      </w:r>
    </w:p>
    <w:p w14:paraId="249F7234" w14:textId="24AD1BAF" w:rsidR="009A1921" w:rsidRPr="00C913DD" w:rsidRDefault="0027381D" w:rsidP="00C913DD">
      <w:pPr>
        <w:pStyle w:val="CommentText"/>
        <w:jc w:val="both"/>
        <w:rPr>
          <w:rFonts w:cstheme="minorHAnsi"/>
          <w:sz w:val="24"/>
          <w:szCs w:val="24"/>
        </w:rPr>
      </w:pPr>
      <w:r w:rsidRPr="00C913DD">
        <w:rPr>
          <w:rFonts w:cstheme="minorHAnsi"/>
          <w:sz w:val="24"/>
          <w:szCs w:val="24"/>
        </w:rPr>
        <w:t>Additionally</w:t>
      </w:r>
      <w:r w:rsidR="00247B0A" w:rsidRPr="00C913DD">
        <w:rPr>
          <w:rFonts w:cstheme="minorHAnsi"/>
          <w:sz w:val="24"/>
          <w:szCs w:val="24"/>
        </w:rPr>
        <w:t xml:space="preserve">, there has been a significant reduction in transparency. </w:t>
      </w:r>
      <w:r w:rsidR="00A45646" w:rsidRPr="00C913DD">
        <w:rPr>
          <w:rFonts w:cstheme="minorHAnsi"/>
          <w:sz w:val="24"/>
          <w:szCs w:val="24"/>
        </w:rPr>
        <w:t>Forward estimates for international development spending were not provided in this year’s budget papers, and t</w:t>
      </w:r>
      <w:r w:rsidR="00247B0A" w:rsidRPr="00C913DD">
        <w:rPr>
          <w:rFonts w:cstheme="minorHAnsi"/>
          <w:sz w:val="24"/>
          <w:szCs w:val="24"/>
        </w:rPr>
        <w:t xml:space="preserve">he budget summary document provided by DFAT has been reduced from </w:t>
      </w:r>
      <w:r w:rsidR="001C582E" w:rsidRPr="00C913DD">
        <w:rPr>
          <w:rFonts w:cstheme="minorHAnsi"/>
          <w:sz w:val="24"/>
          <w:szCs w:val="24"/>
        </w:rPr>
        <w:t xml:space="preserve">the </w:t>
      </w:r>
      <w:r w:rsidR="00247B0A" w:rsidRPr="00C913DD">
        <w:rPr>
          <w:rFonts w:cstheme="minorHAnsi"/>
          <w:sz w:val="24"/>
          <w:szCs w:val="24"/>
        </w:rPr>
        <w:t xml:space="preserve">120 page </w:t>
      </w:r>
      <w:r w:rsidR="001C582E" w:rsidRPr="00C913DD">
        <w:rPr>
          <w:rFonts w:cstheme="minorHAnsi"/>
          <w:sz w:val="24"/>
          <w:szCs w:val="24"/>
        </w:rPr>
        <w:t xml:space="preserve">“Orange Book” produced </w:t>
      </w:r>
      <w:r w:rsidR="00247B0A" w:rsidRPr="00C913DD">
        <w:rPr>
          <w:rFonts w:cstheme="minorHAnsi"/>
          <w:sz w:val="24"/>
          <w:szCs w:val="24"/>
        </w:rPr>
        <w:t xml:space="preserve">in previous years, to </w:t>
      </w:r>
      <w:r w:rsidR="001C582E" w:rsidRPr="00C913DD">
        <w:rPr>
          <w:rFonts w:cstheme="minorHAnsi"/>
          <w:sz w:val="24"/>
          <w:szCs w:val="24"/>
        </w:rPr>
        <w:t xml:space="preserve">a </w:t>
      </w:r>
      <w:r w:rsidR="00C913DD" w:rsidRPr="00C913DD">
        <w:rPr>
          <w:rFonts w:cstheme="minorHAnsi"/>
          <w:sz w:val="24"/>
          <w:szCs w:val="24"/>
        </w:rPr>
        <w:t>4-page</w:t>
      </w:r>
      <w:r w:rsidR="001C582E" w:rsidRPr="00C913DD">
        <w:rPr>
          <w:rFonts w:cstheme="minorHAnsi"/>
          <w:sz w:val="24"/>
          <w:szCs w:val="24"/>
        </w:rPr>
        <w:t xml:space="preserve"> summary</w:t>
      </w:r>
      <w:r w:rsidR="00247B0A" w:rsidRPr="00C913DD">
        <w:rPr>
          <w:rFonts w:cstheme="minorHAnsi"/>
          <w:sz w:val="24"/>
          <w:szCs w:val="24"/>
        </w:rPr>
        <w:t xml:space="preserve">. </w:t>
      </w:r>
      <w:r w:rsidR="00672DA7" w:rsidRPr="00C913DD">
        <w:rPr>
          <w:rFonts w:cstheme="minorHAnsi"/>
          <w:sz w:val="24"/>
          <w:szCs w:val="24"/>
        </w:rPr>
        <w:t xml:space="preserve">Additionally, performance reporting </w:t>
      </w:r>
      <w:r w:rsidR="00672DA7" w:rsidRPr="00C913DD">
        <w:rPr>
          <w:rFonts w:cstheme="minorHAnsi"/>
          <w:sz w:val="24"/>
          <w:szCs w:val="24"/>
        </w:rPr>
        <w:lastRenderedPageBreak/>
        <w:t xml:space="preserve">expected in March 2020 which includes critical data on gender equality indicators has still not been released.  </w:t>
      </w:r>
    </w:p>
    <w:p w14:paraId="5841FF5E" w14:textId="4C60B5EA" w:rsidR="00EB5575" w:rsidRPr="00C913DD" w:rsidRDefault="00EB5575" w:rsidP="00C913DD">
      <w:pPr>
        <w:pStyle w:val="Heading1"/>
      </w:pPr>
      <w:r w:rsidRPr="00C913DD">
        <w:t>Gender implications</w:t>
      </w:r>
    </w:p>
    <w:p w14:paraId="76EE93CF" w14:textId="77777777" w:rsidR="00EB5575" w:rsidRPr="00C913DD" w:rsidRDefault="00EB5575" w:rsidP="00C913DD">
      <w:pPr>
        <w:pStyle w:val="Heading2"/>
      </w:pPr>
      <w:r w:rsidRPr="00C913DD">
        <w:t>Why is this an issue for women?</w:t>
      </w:r>
    </w:p>
    <w:p w14:paraId="13283472" w14:textId="7BB79528" w:rsidR="00F7406D" w:rsidRPr="00C913DD" w:rsidRDefault="00F7406D" w:rsidP="00C913DD">
      <w:pPr>
        <w:autoSpaceDE w:val="0"/>
        <w:autoSpaceDN w:val="0"/>
        <w:adjustRightInd w:val="0"/>
        <w:spacing w:line="240" w:lineRule="auto"/>
        <w:jc w:val="both"/>
        <w:rPr>
          <w:rFonts w:cstheme="minorHAnsi"/>
          <w:bCs/>
          <w:color w:val="000000"/>
          <w:sz w:val="24"/>
          <w:szCs w:val="24"/>
        </w:rPr>
      </w:pPr>
      <w:r w:rsidRPr="00C913DD">
        <w:rPr>
          <w:rFonts w:cstheme="minorHAnsi"/>
          <w:sz w:val="24"/>
          <w:szCs w:val="24"/>
        </w:rPr>
        <w:t>The UNDP Human Development Report has noted that for the first time in 30 years human development is on track to decline in 2020</w:t>
      </w:r>
      <w:r w:rsidR="00003AF1" w:rsidRPr="00C913DD">
        <w:rPr>
          <w:rFonts w:cstheme="minorHAnsi"/>
          <w:sz w:val="24"/>
          <w:szCs w:val="24"/>
        </w:rPr>
        <w:t xml:space="preserve"> (</w:t>
      </w:r>
      <w:hyperlink r:id="rId19" w:history="1">
        <w:r w:rsidR="00003AF1" w:rsidRPr="00C913DD">
          <w:rPr>
            <w:rStyle w:val="Hyperlink"/>
            <w:rFonts w:cstheme="minorHAnsi"/>
            <w:sz w:val="24"/>
            <w:szCs w:val="24"/>
          </w:rPr>
          <w:t>UNDP</w:t>
        </w:r>
      </w:hyperlink>
      <w:r w:rsidR="00003AF1" w:rsidRPr="00C913DD">
        <w:rPr>
          <w:rFonts w:cstheme="minorHAnsi"/>
          <w:sz w:val="24"/>
          <w:szCs w:val="24"/>
        </w:rPr>
        <w:t>, 2020</w:t>
      </w:r>
      <w:r w:rsidR="00E134D1" w:rsidRPr="00C913DD">
        <w:rPr>
          <w:rFonts w:cstheme="minorHAnsi"/>
          <w:sz w:val="24"/>
          <w:szCs w:val="24"/>
        </w:rPr>
        <w:t>a</w:t>
      </w:r>
      <w:r w:rsidR="00003AF1" w:rsidRPr="00C913DD">
        <w:rPr>
          <w:rFonts w:cstheme="minorHAnsi"/>
          <w:sz w:val="24"/>
          <w:szCs w:val="24"/>
        </w:rPr>
        <w:t>)</w:t>
      </w:r>
      <w:r w:rsidRPr="00C913DD">
        <w:rPr>
          <w:rFonts w:cstheme="minorHAnsi"/>
          <w:bCs/>
          <w:color w:val="000000"/>
          <w:sz w:val="24"/>
          <w:szCs w:val="24"/>
        </w:rPr>
        <w:t>.</w:t>
      </w:r>
      <w:r w:rsidR="00FD2E98" w:rsidRPr="00C913DD">
        <w:rPr>
          <w:rStyle w:val="FootnoteReference"/>
          <w:rFonts w:cstheme="minorHAnsi"/>
          <w:sz w:val="24"/>
          <w:szCs w:val="24"/>
        </w:rPr>
        <w:t xml:space="preserve"> </w:t>
      </w:r>
      <w:r w:rsidRPr="00C913DD">
        <w:rPr>
          <w:rFonts w:cstheme="minorHAnsi"/>
          <w:bCs/>
          <w:color w:val="000000"/>
          <w:sz w:val="24"/>
          <w:szCs w:val="24"/>
        </w:rPr>
        <w:t xml:space="preserve">While Pacific countries have so far escaped severe health impacts from COVID-19, the economic effects of the crisis are already impacting on gender equality and women’s rights. </w:t>
      </w:r>
      <w:r w:rsidR="00D81E40" w:rsidRPr="00C913DD">
        <w:rPr>
          <w:rFonts w:cstheme="minorHAnsi"/>
          <w:bCs/>
          <w:color w:val="000000"/>
          <w:sz w:val="24"/>
          <w:szCs w:val="24"/>
        </w:rPr>
        <w:t xml:space="preserve"> </w:t>
      </w:r>
      <w:r w:rsidR="008F5780" w:rsidRPr="00C913DD">
        <w:rPr>
          <w:rFonts w:cstheme="minorHAnsi"/>
          <w:bCs/>
          <w:color w:val="000000"/>
          <w:sz w:val="24"/>
          <w:szCs w:val="24"/>
        </w:rPr>
        <w:t>W</w:t>
      </w:r>
      <w:r w:rsidRPr="00C913DD">
        <w:rPr>
          <w:rFonts w:cstheme="minorHAnsi"/>
          <w:bCs/>
          <w:color w:val="000000"/>
          <w:sz w:val="24"/>
          <w:szCs w:val="24"/>
        </w:rPr>
        <w:t>omen are also particularly vulnerable to the economic impacts of COVID-19, representing a high proportion of those in insecure and informal sectors</w:t>
      </w:r>
      <w:r w:rsidR="00FD2E98" w:rsidRPr="00C913DD">
        <w:rPr>
          <w:rFonts w:cstheme="minorHAnsi"/>
          <w:bCs/>
          <w:color w:val="000000"/>
          <w:sz w:val="24"/>
          <w:szCs w:val="24"/>
        </w:rPr>
        <w:t xml:space="preserve"> (</w:t>
      </w:r>
      <w:hyperlink r:id="rId20" w:history="1">
        <w:r w:rsidR="00FD2E98" w:rsidRPr="00C913DD">
          <w:rPr>
            <w:rStyle w:val="Hyperlink"/>
            <w:rFonts w:cstheme="minorHAnsi"/>
            <w:bCs/>
            <w:sz w:val="24"/>
            <w:szCs w:val="24"/>
          </w:rPr>
          <w:t>UN Women Regional Office for Asia and the Pacific</w:t>
        </w:r>
      </w:hyperlink>
      <w:r w:rsidR="00FD2E98" w:rsidRPr="00C913DD">
        <w:rPr>
          <w:rFonts w:cstheme="minorHAnsi"/>
          <w:bCs/>
          <w:color w:val="000000"/>
          <w:sz w:val="24"/>
          <w:szCs w:val="24"/>
        </w:rPr>
        <w:t>, 2020)</w:t>
      </w:r>
      <w:r w:rsidRPr="00C913DD">
        <w:rPr>
          <w:rFonts w:cstheme="minorHAnsi"/>
          <w:bCs/>
          <w:color w:val="000000"/>
          <w:sz w:val="24"/>
          <w:szCs w:val="24"/>
        </w:rPr>
        <w:t>. Across Asia and the Pacific, women perform four times more unpaid care work than men, and the closure of paid care-providing facilities and schools will only increase this workload</w:t>
      </w:r>
      <w:r w:rsidR="00D81E40" w:rsidRPr="00C913DD">
        <w:rPr>
          <w:rFonts w:cstheme="minorHAnsi"/>
          <w:bCs/>
          <w:color w:val="000000"/>
          <w:sz w:val="24"/>
          <w:szCs w:val="24"/>
        </w:rPr>
        <w:t>, further impacting women’s ability to engage in paid work</w:t>
      </w:r>
      <w:r w:rsidR="00FD2E98" w:rsidRPr="00C913DD">
        <w:rPr>
          <w:rFonts w:cstheme="minorHAnsi"/>
          <w:bCs/>
          <w:color w:val="000000"/>
          <w:sz w:val="24"/>
          <w:szCs w:val="24"/>
        </w:rPr>
        <w:t xml:space="preserve"> (</w:t>
      </w:r>
      <w:hyperlink r:id="rId21" w:history="1">
        <w:r w:rsidR="00F242AC" w:rsidRPr="00C913DD">
          <w:rPr>
            <w:rStyle w:val="Hyperlink"/>
            <w:rFonts w:cstheme="minorHAnsi"/>
            <w:bCs/>
            <w:sz w:val="24"/>
            <w:szCs w:val="24"/>
          </w:rPr>
          <w:t>IWDA</w:t>
        </w:r>
      </w:hyperlink>
      <w:r w:rsidR="00F242AC" w:rsidRPr="00C913DD">
        <w:rPr>
          <w:rFonts w:cstheme="minorHAnsi"/>
          <w:bCs/>
          <w:color w:val="000000"/>
          <w:sz w:val="24"/>
          <w:szCs w:val="24"/>
        </w:rPr>
        <w:t>, 2020</w:t>
      </w:r>
      <w:r w:rsidR="00FD2E98" w:rsidRPr="00C913DD">
        <w:rPr>
          <w:rFonts w:cstheme="minorHAnsi"/>
          <w:bCs/>
          <w:color w:val="000000"/>
          <w:sz w:val="24"/>
          <w:szCs w:val="24"/>
        </w:rPr>
        <w:t>)</w:t>
      </w:r>
      <w:r w:rsidRPr="00C913DD">
        <w:rPr>
          <w:rFonts w:cstheme="minorHAnsi"/>
          <w:bCs/>
          <w:color w:val="000000"/>
          <w:sz w:val="24"/>
          <w:szCs w:val="24"/>
        </w:rPr>
        <w:t xml:space="preserve">. </w:t>
      </w:r>
      <w:r w:rsidR="00D81E40" w:rsidRPr="00C913DD">
        <w:rPr>
          <w:rFonts w:cstheme="minorHAnsi"/>
          <w:bCs/>
          <w:color w:val="000000"/>
          <w:sz w:val="24"/>
          <w:szCs w:val="24"/>
        </w:rPr>
        <w:t>T</w:t>
      </w:r>
      <w:r w:rsidRPr="00C913DD">
        <w:rPr>
          <w:rFonts w:cstheme="minorHAnsi"/>
          <w:bCs/>
          <w:color w:val="000000"/>
          <w:sz w:val="24"/>
          <w:szCs w:val="24"/>
        </w:rPr>
        <w:t xml:space="preserve">he additional handwashing </w:t>
      </w:r>
      <w:r w:rsidR="00D81E40" w:rsidRPr="00C913DD">
        <w:rPr>
          <w:rFonts w:cstheme="minorHAnsi"/>
          <w:bCs/>
          <w:color w:val="000000"/>
          <w:sz w:val="24"/>
          <w:szCs w:val="24"/>
        </w:rPr>
        <w:t xml:space="preserve">requirements and time spent at home </w:t>
      </w:r>
      <w:r w:rsidRPr="00C913DD">
        <w:rPr>
          <w:rFonts w:cstheme="minorHAnsi"/>
          <w:bCs/>
          <w:color w:val="000000"/>
          <w:sz w:val="24"/>
          <w:szCs w:val="24"/>
        </w:rPr>
        <w:t xml:space="preserve">is </w:t>
      </w:r>
      <w:r w:rsidR="00D81E40" w:rsidRPr="00C913DD">
        <w:rPr>
          <w:rFonts w:cstheme="minorHAnsi"/>
          <w:bCs/>
          <w:color w:val="000000"/>
          <w:sz w:val="24"/>
          <w:szCs w:val="24"/>
        </w:rPr>
        <w:t xml:space="preserve">also </w:t>
      </w:r>
      <w:r w:rsidRPr="00C913DD">
        <w:rPr>
          <w:rFonts w:cstheme="minorHAnsi"/>
          <w:bCs/>
          <w:color w:val="000000"/>
          <w:sz w:val="24"/>
          <w:szCs w:val="24"/>
        </w:rPr>
        <w:t>increasing the burden for women who are responsible for collecting water and fuel</w:t>
      </w:r>
      <w:r w:rsidR="0027381D" w:rsidRPr="00C913DD">
        <w:rPr>
          <w:rFonts w:cstheme="minorHAnsi"/>
          <w:bCs/>
          <w:color w:val="000000"/>
          <w:sz w:val="24"/>
          <w:szCs w:val="24"/>
        </w:rPr>
        <w:t xml:space="preserve"> (</w:t>
      </w:r>
      <w:hyperlink r:id="rId22" w:history="1">
        <w:r w:rsidR="0027381D" w:rsidRPr="00C913DD">
          <w:rPr>
            <w:rStyle w:val="Hyperlink"/>
            <w:rFonts w:cstheme="minorHAnsi"/>
            <w:bCs/>
            <w:sz w:val="24"/>
            <w:szCs w:val="24"/>
          </w:rPr>
          <w:t>Individual Deprivation Measure, 2020</w:t>
        </w:r>
      </w:hyperlink>
      <w:r w:rsidR="0027381D" w:rsidRPr="00C913DD">
        <w:rPr>
          <w:rFonts w:cstheme="minorHAnsi"/>
          <w:bCs/>
          <w:color w:val="000000"/>
          <w:sz w:val="24"/>
          <w:szCs w:val="24"/>
        </w:rPr>
        <w:t>)</w:t>
      </w:r>
      <w:r w:rsidRPr="00C913DD">
        <w:rPr>
          <w:rFonts w:cstheme="minorHAnsi"/>
          <w:bCs/>
          <w:color w:val="000000"/>
          <w:sz w:val="24"/>
          <w:szCs w:val="24"/>
        </w:rPr>
        <w:t>.</w:t>
      </w:r>
    </w:p>
    <w:p w14:paraId="22C02C8F" w14:textId="35307397" w:rsidR="009C2E59" w:rsidRPr="00C913DD" w:rsidRDefault="00AF3E26" w:rsidP="00C913DD">
      <w:pPr>
        <w:autoSpaceDE w:val="0"/>
        <w:autoSpaceDN w:val="0"/>
        <w:adjustRightInd w:val="0"/>
        <w:spacing w:line="240" w:lineRule="auto"/>
        <w:jc w:val="both"/>
        <w:rPr>
          <w:rFonts w:cstheme="minorHAnsi"/>
          <w:sz w:val="24"/>
          <w:szCs w:val="24"/>
        </w:rPr>
      </w:pPr>
      <w:r w:rsidRPr="00C913DD">
        <w:rPr>
          <w:rFonts w:cstheme="minorHAnsi"/>
          <w:sz w:val="24"/>
          <w:szCs w:val="24"/>
        </w:rPr>
        <w:t xml:space="preserve">In early 2020, </w:t>
      </w:r>
      <w:r w:rsidR="008F5780" w:rsidRPr="00C913DD">
        <w:rPr>
          <w:rFonts w:cstheme="minorHAnsi"/>
          <w:sz w:val="24"/>
          <w:szCs w:val="24"/>
        </w:rPr>
        <w:t>UNFPA projected that a 6 months lockdown period could lead to 1 million additional cases of gender based violence globally</w:t>
      </w:r>
      <w:r w:rsidR="00916375" w:rsidRPr="00C913DD">
        <w:rPr>
          <w:rFonts w:cstheme="minorHAnsi"/>
          <w:sz w:val="24"/>
          <w:szCs w:val="24"/>
        </w:rPr>
        <w:t xml:space="preserve"> (</w:t>
      </w:r>
      <w:hyperlink r:id="rId23" w:history="1">
        <w:r w:rsidR="00916375" w:rsidRPr="00C913DD">
          <w:rPr>
            <w:rStyle w:val="Hyperlink"/>
            <w:rFonts w:cstheme="minorHAnsi"/>
            <w:sz w:val="24"/>
            <w:szCs w:val="24"/>
          </w:rPr>
          <w:t>UNFPA</w:t>
        </w:r>
      </w:hyperlink>
      <w:r w:rsidR="00916375" w:rsidRPr="00C913DD">
        <w:rPr>
          <w:rFonts w:cstheme="minorHAnsi"/>
          <w:sz w:val="24"/>
          <w:szCs w:val="24"/>
        </w:rPr>
        <w:t>, 2020)</w:t>
      </w:r>
      <w:r w:rsidR="008F5780" w:rsidRPr="00C913DD">
        <w:rPr>
          <w:rFonts w:cstheme="minorHAnsi"/>
          <w:sz w:val="24"/>
          <w:szCs w:val="24"/>
        </w:rPr>
        <w:t xml:space="preserve">. </w:t>
      </w:r>
      <w:r w:rsidR="008F5780" w:rsidRPr="00C913DD">
        <w:rPr>
          <w:rFonts w:cstheme="minorHAnsi"/>
          <w:bCs/>
          <w:color w:val="000000"/>
          <w:sz w:val="24"/>
          <w:szCs w:val="24"/>
        </w:rPr>
        <w:t xml:space="preserve">The Pacific already has </w:t>
      </w:r>
      <w:r w:rsidR="00D81E40" w:rsidRPr="00C913DD">
        <w:rPr>
          <w:rFonts w:cstheme="minorHAnsi"/>
          <w:bCs/>
          <w:color w:val="000000"/>
          <w:sz w:val="24"/>
          <w:szCs w:val="24"/>
        </w:rPr>
        <w:t xml:space="preserve">extremely </w:t>
      </w:r>
      <w:r w:rsidR="008F5780" w:rsidRPr="00C913DD">
        <w:rPr>
          <w:rFonts w:cstheme="minorHAnsi"/>
          <w:bCs/>
          <w:color w:val="000000"/>
          <w:sz w:val="24"/>
          <w:szCs w:val="24"/>
        </w:rPr>
        <w:t>high rates</w:t>
      </w:r>
      <w:r w:rsidR="00EE4D0B" w:rsidRPr="00C913DD">
        <w:rPr>
          <w:rFonts w:cstheme="minorHAnsi"/>
          <w:bCs/>
          <w:color w:val="000000"/>
          <w:sz w:val="24"/>
          <w:szCs w:val="24"/>
        </w:rPr>
        <w:t xml:space="preserve"> of gender based violence</w:t>
      </w:r>
      <w:r w:rsidR="00D81E40" w:rsidRPr="00C913DD">
        <w:rPr>
          <w:rFonts w:cstheme="minorHAnsi"/>
          <w:bCs/>
          <w:color w:val="000000"/>
          <w:sz w:val="24"/>
          <w:szCs w:val="24"/>
        </w:rPr>
        <w:t>, and</w:t>
      </w:r>
      <w:r w:rsidR="008F5780" w:rsidRPr="00C913DD">
        <w:rPr>
          <w:rFonts w:cstheme="minorHAnsi"/>
          <w:sz w:val="24"/>
          <w:szCs w:val="24"/>
        </w:rPr>
        <w:t xml:space="preserve"> </w:t>
      </w:r>
      <w:r w:rsidR="008F5780" w:rsidRPr="00C913DD">
        <w:rPr>
          <w:rFonts w:cstheme="minorHAnsi"/>
          <w:bCs/>
          <w:color w:val="000000"/>
          <w:sz w:val="24"/>
          <w:szCs w:val="24"/>
        </w:rPr>
        <w:t xml:space="preserve">reports indicate that </w:t>
      </w:r>
      <w:r w:rsidR="00EE4D0B" w:rsidRPr="00C913DD">
        <w:rPr>
          <w:rFonts w:cstheme="minorHAnsi"/>
          <w:bCs/>
          <w:color w:val="000000"/>
          <w:sz w:val="24"/>
          <w:szCs w:val="24"/>
        </w:rPr>
        <w:t>this</w:t>
      </w:r>
      <w:r w:rsidR="008F5780" w:rsidRPr="00C913DD">
        <w:rPr>
          <w:rFonts w:cstheme="minorHAnsi"/>
          <w:bCs/>
          <w:color w:val="000000"/>
          <w:sz w:val="24"/>
          <w:szCs w:val="24"/>
        </w:rPr>
        <w:t xml:space="preserve"> has increased since the start of the pandemic, consistent with findings from other countries</w:t>
      </w:r>
      <w:r w:rsidR="00916375" w:rsidRPr="00C913DD">
        <w:rPr>
          <w:rFonts w:cstheme="minorHAnsi"/>
          <w:bCs/>
          <w:color w:val="000000"/>
          <w:sz w:val="24"/>
          <w:szCs w:val="24"/>
        </w:rPr>
        <w:t xml:space="preserve"> (</w:t>
      </w:r>
      <w:hyperlink r:id="rId24" w:history="1">
        <w:r w:rsidR="00916375" w:rsidRPr="00C913DD">
          <w:rPr>
            <w:rStyle w:val="Hyperlink"/>
            <w:rFonts w:cstheme="minorHAnsi"/>
            <w:bCs/>
            <w:sz w:val="24"/>
            <w:szCs w:val="24"/>
          </w:rPr>
          <w:t>UNDP</w:t>
        </w:r>
      </w:hyperlink>
      <w:r w:rsidR="00916375" w:rsidRPr="00C913DD">
        <w:rPr>
          <w:rFonts w:cstheme="minorHAnsi"/>
          <w:bCs/>
          <w:color w:val="000000"/>
          <w:sz w:val="24"/>
          <w:szCs w:val="24"/>
        </w:rPr>
        <w:t>, 2020</w:t>
      </w:r>
      <w:r w:rsidR="00E134D1" w:rsidRPr="00C913DD">
        <w:rPr>
          <w:rFonts w:cstheme="minorHAnsi"/>
          <w:bCs/>
          <w:color w:val="000000"/>
          <w:sz w:val="24"/>
          <w:szCs w:val="24"/>
        </w:rPr>
        <w:t>b</w:t>
      </w:r>
      <w:r w:rsidR="00916375" w:rsidRPr="00C913DD">
        <w:rPr>
          <w:rFonts w:cstheme="minorHAnsi"/>
          <w:bCs/>
          <w:color w:val="000000"/>
          <w:sz w:val="24"/>
          <w:szCs w:val="24"/>
        </w:rPr>
        <w:t>)</w:t>
      </w:r>
      <w:r w:rsidR="00916375" w:rsidRPr="00C913DD">
        <w:rPr>
          <w:rFonts w:cstheme="minorHAnsi"/>
          <w:sz w:val="24"/>
          <w:szCs w:val="24"/>
        </w:rPr>
        <w:t>.</w:t>
      </w:r>
      <w:r w:rsidR="008F5780" w:rsidRPr="00C913DD">
        <w:rPr>
          <w:rFonts w:cstheme="minorHAnsi"/>
          <w:sz w:val="24"/>
          <w:szCs w:val="24"/>
        </w:rPr>
        <w:t xml:space="preserve"> </w:t>
      </w:r>
      <w:r w:rsidRPr="00C913DD">
        <w:rPr>
          <w:rFonts w:cstheme="minorHAnsi"/>
          <w:sz w:val="24"/>
          <w:szCs w:val="24"/>
        </w:rPr>
        <w:t xml:space="preserve">Women’s rights organisations in Papua New Guinea </w:t>
      </w:r>
      <w:hyperlink r:id="rId25" w:history="1">
        <w:r w:rsidRPr="00C913DD">
          <w:rPr>
            <w:rStyle w:val="Hyperlink"/>
            <w:rFonts w:cstheme="minorHAnsi"/>
            <w:sz w:val="24"/>
            <w:szCs w:val="24"/>
          </w:rPr>
          <w:t>have reported alarming evidence</w:t>
        </w:r>
      </w:hyperlink>
      <w:r w:rsidRPr="00C913DD">
        <w:rPr>
          <w:rFonts w:cstheme="minorHAnsi"/>
          <w:sz w:val="24"/>
          <w:szCs w:val="24"/>
        </w:rPr>
        <w:t xml:space="preserve"> of increased violence against women, including sorcery accusations, alongside significant barriers to accessing services due to restrictions on movement</w:t>
      </w:r>
      <w:r w:rsidR="00916375" w:rsidRPr="00C913DD">
        <w:rPr>
          <w:rFonts w:cstheme="minorHAnsi"/>
          <w:sz w:val="24"/>
          <w:szCs w:val="24"/>
        </w:rPr>
        <w:t xml:space="preserve"> (</w:t>
      </w:r>
      <w:hyperlink r:id="rId26" w:history="1">
        <w:r w:rsidR="00916375" w:rsidRPr="00C913DD">
          <w:rPr>
            <w:rStyle w:val="Hyperlink"/>
            <w:rFonts w:cstheme="minorHAnsi"/>
            <w:sz w:val="24"/>
            <w:szCs w:val="24"/>
          </w:rPr>
          <w:t>Eastern Highlands Family Voice et al</w:t>
        </w:r>
      </w:hyperlink>
      <w:r w:rsidR="00916375" w:rsidRPr="00C913DD">
        <w:rPr>
          <w:rFonts w:cstheme="minorHAnsi"/>
          <w:sz w:val="24"/>
          <w:szCs w:val="24"/>
        </w:rPr>
        <w:t>, 2020)</w:t>
      </w:r>
      <w:r w:rsidRPr="00C913DD">
        <w:rPr>
          <w:rFonts w:cstheme="minorHAnsi"/>
          <w:sz w:val="24"/>
          <w:szCs w:val="24"/>
        </w:rPr>
        <w:t>.</w:t>
      </w:r>
    </w:p>
    <w:p w14:paraId="038DC534" w14:textId="1ECF3D5A" w:rsidR="00EB5575" w:rsidRPr="00C913DD" w:rsidRDefault="00EB5575" w:rsidP="00C913DD">
      <w:pPr>
        <w:pStyle w:val="Heading2"/>
      </w:pPr>
      <w:r w:rsidRPr="00C913DD">
        <w:t>What are the 2020 Budget impacts on women?</w:t>
      </w:r>
    </w:p>
    <w:p w14:paraId="530E5294" w14:textId="2640482F" w:rsidR="009C2E59" w:rsidRPr="00C913DD" w:rsidRDefault="009C2E59" w:rsidP="00C913DD">
      <w:pPr>
        <w:spacing w:line="240" w:lineRule="auto"/>
        <w:contextualSpacing/>
        <w:jc w:val="both"/>
        <w:rPr>
          <w:rFonts w:cstheme="minorHAnsi"/>
          <w:sz w:val="24"/>
          <w:szCs w:val="24"/>
        </w:rPr>
      </w:pPr>
      <w:r w:rsidRPr="00C913DD">
        <w:rPr>
          <w:rFonts w:cstheme="minorHAnsi"/>
          <w:sz w:val="24"/>
          <w:szCs w:val="24"/>
        </w:rPr>
        <w:t xml:space="preserve">The allocation of $304.7m in new grant-based funding to the Pacific and Timor </w:t>
      </w:r>
      <w:proofErr w:type="spellStart"/>
      <w:r w:rsidRPr="00C913DD">
        <w:rPr>
          <w:rFonts w:cstheme="minorHAnsi"/>
          <w:sz w:val="24"/>
          <w:szCs w:val="24"/>
        </w:rPr>
        <w:t>Leste</w:t>
      </w:r>
      <w:proofErr w:type="spellEnd"/>
      <w:r w:rsidRPr="00C913DD">
        <w:rPr>
          <w:rFonts w:cstheme="minorHAnsi"/>
          <w:sz w:val="24"/>
          <w:szCs w:val="24"/>
        </w:rPr>
        <w:t xml:space="preserve"> is a welcome counter to the trend of Australia increasingly offering development assistance in the form of loans. While it is positive that Australia has suspended debt repayments on its loan to PNG, it will be critical for this and future loans to take into account the potential for debt servicing to divert funding from essential services, a phenomenon which has been shown to disproportionately disadvantage women (</w:t>
      </w:r>
      <w:r w:rsidR="006B72E4" w:rsidRPr="00C913DD">
        <w:rPr>
          <w:rFonts w:cstheme="minorHAnsi"/>
          <w:sz w:val="24"/>
          <w:szCs w:val="24"/>
        </w:rPr>
        <w:t>Stewart, 2017; Women’s Working Group on Financing for Development, 2015)</w:t>
      </w:r>
      <w:r w:rsidRPr="00C913DD">
        <w:rPr>
          <w:rFonts w:cstheme="minorHAnsi"/>
          <w:sz w:val="24"/>
          <w:szCs w:val="24"/>
        </w:rPr>
        <w:t xml:space="preserve">. </w:t>
      </w:r>
    </w:p>
    <w:p w14:paraId="6CA860C1" w14:textId="77777777" w:rsidR="009C2E59" w:rsidRPr="00C913DD" w:rsidRDefault="009C2E59" w:rsidP="00C913DD">
      <w:pPr>
        <w:spacing w:line="240" w:lineRule="auto"/>
        <w:contextualSpacing/>
        <w:jc w:val="both"/>
        <w:rPr>
          <w:rFonts w:cstheme="minorHAnsi"/>
          <w:sz w:val="24"/>
          <w:szCs w:val="24"/>
        </w:rPr>
      </w:pPr>
    </w:p>
    <w:p w14:paraId="7D9A3281" w14:textId="157C861B" w:rsidR="00B76D01" w:rsidRPr="00C913DD" w:rsidRDefault="00B76D01" w:rsidP="00C913DD">
      <w:pPr>
        <w:spacing w:line="240" w:lineRule="auto"/>
        <w:contextualSpacing/>
        <w:jc w:val="both"/>
        <w:rPr>
          <w:rFonts w:cstheme="minorHAnsi"/>
          <w:sz w:val="24"/>
          <w:szCs w:val="24"/>
        </w:rPr>
      </w:pPr>
      <w:r w:rsidRPr="00C913DD">
        <w:rPr>
          <w:rFonts w:cstheme="minorHAnsi"/>
          <w:sz w:val="24"/>
          <w:szCs w:val="24"/>
        </w:rPr>
        <w:t xml:space="preserve">DFAT have indicated that the new funding to the Pacific and Timor </w:t>
      </w:r>
      <w:proofErr w:type="spellStart"/>
      <w:r w:rsidRPr="00C913DD">
        <w:rPr>
          <w:rFonts w:cstheme="minorHAnsi"/>
          <w:sz w:val="24"/>
          <w:szCs w:val="24"/>
        </w:rPr>
        <w:t>Leste</w:t>
      </w:r>
      <w:proofErr w:type="spellEnd"/>
      <w:r w:rsidRPr="00C913DD">
        <w:rPr>
          <w:rFonts w:cstheme="minorHAnsi"/>
          <w:sz w:val="24"/>
          <w:szCs w:val="24"/>
        </w:rPr>
        <w:t xml:space="preserve"> is currently being programmed, and that it will include a focus on gender equality. At the same time, t</w:t>
      </w:r>
      <w:r w:rsidR="00B9156D" w:rsidRPr="00C913DD">
        <w:rPr>
          <w:rFonts w:cstheme="minorHAnsi"/>
          <w:sz w:val="24"/>
          <w:szCs w:val="24"/>
        </w:rPr>
        <w:t xml:space="preserve">he central fund for gender equality initiatives </w:t>
      </w:r>
      <w:r w:rsidRPr="00C913DD">
        <w:rPr>
          <w:rFonts w:cstheme="minorHAnsi"/>
          <w:sz w:val="24"/>
          <w:szCs w:val="24"/>
        </w:rPr>
        <w:t xml:space="preserve">has </w:t>
      </w:r>
      <w:r w:rsidR="00B9156D" w:rsidRPr="00C913DD">
        <w:rPr>
          <w:rFonts w:cstheme="minorHAnsi"/>
          <w:sz w:val="24"/>
          <w:szCs w:val="24"/>
        </w:rPr>
        <w:t xml:space="preserve">received an increase of $10m and now stands at $65m. </w:t>
      </w:r>
      <w:r w:rsidR="00095C01" w:rsidRPr="00C913DD">
        <w:rPr>
          <w:rFonts w:cstheme="minorHAnsi"/>
          <w:sz w:val="24"/>
          <w:szCs w:val="24"/>
        </w:rPr>
        <w:t xml:space="preserve">This is a welcome move and </w:t>
      </w:r>
      <w:r w:rsidR="00104493" w:rsidRPr="00C913DD">
        <w:rPr>
          <w:rFonts w:cstheme="minorHAnsi"/>
          <w:sz w:val="24"/>
          <w:szCs w:val="24"/>
        </w:rPr>
        <w:t>means</w:t>
      </w:r>
      <w:r w:rsidR="00095C01" w:rsidRPr="00C913DD">
        <w:rPr>
          <w:rFonts w:cstheme="minorHAnsi"/>
          <w:sz w:val="24"/>
          <w:szCs w:val="24"/>
        </w:rPr>
        <w:t xml:space="preserve"> new funding for gender equality initiatives. </w:t>
      </w:r>
      <w:r w:rsidR="00EE4D0B" w:rsidRPr="00C913DD">
        <w:rPr>
          <w:rFonts w:cstheme="minorHAnsi"/>
          <w:sz w:val="24"/>
          <w:szCs w:val="24"/>
        </w:rPr>
        <w:t xml:space="preserve">It will be critical for DFAT to consult with women’s rights groups to ensure that this funding can be targeted towards the most transformative initiatives, and ensure that the new funding will be accessible to local women’s rights organisations. </w:t>
      </w:r>
      <w:r w:rsidR="0002326F" w:rsidRPr="00C913DD">
        <w:rPr>
          <w:rFonts w:cstheme="minorHAnsi"/>
          <w:sz w:val="24"/>
          <w:szCs w:val="24"/>
        </w:rPr>
        <w:t>It is important that allocations of this funding strike an appropriate balance between gender-mainstreamed activities and those that are gender-specific. Across OECD DAC donors, gender-mainstreamed funds have been growing for a decade but those for gender-specific activities have been stubbornly stuck at 4% (</w:t>
      </w:r>
      <w:hyperlink r:id="rId27" w:history="1">
        <w:r w:rsidR="0002326F" w:rsidRPr="00C913DD">
          <w:rPr>
            <w:rStyle w:val="Hyperlink"/>
            <w:rFonts w:cstheme="minorHAnsi"/>
            <w:sz w:val="24"/>
            <w:szCs w:val="24"/>
          </w:rPr>
          <w:t>OECD, 2020</w:t>
        </w:r>
      </w:hyperlink>
      <w:r w:rsidR="0002326F" w:rsidRPr="00C913DD">
        <w:rPr>
          <w:rFonts w:cstheme="minorHAnsi"/>
          <w:sz w:val="24"/>
          <w:szCs w:val="24"/>
        </w:rPr>
        <w:t>)</w:t>
      </w:r>
      <w:r w:rsidR="009C2E59" w:rsidRPr="00C913DD">
        <w:rPr>
          <w:rFonts w:cstheme="minorHAnsi"/>
          <w:sz w:val="24"/>
          <w:szCs w:val="24"/>
        </w:rPr>
        <w:t>.</w:t>
      </w:r>
      <w:r w:rsidR="0002326F" w:rsidRPr="00C913DD">
        <w:rPr>
          <w:rFonts w:cstheme="minorHAnsi"/>
          <w:sz w:val="24"/>
          <w:szCs w:val="24"/>
        </w:rPr>
        <w:t xml:space="preserve"> </w:t>
      </w:r>
    </w:p>
    <w:p w14:paraId="2AB20236" w14:textId="77777777" w:rsidR="00B76D01" w:rsidRPr="00C913DD" w:rsidRDefault="00B76D01" w:rsidP="00C913DD">
      <w:pPr>
        <w:spacing w:line="240" w:lineRule="auto"/>
        <w:contextualSpacing/>
        <w:jc w:val="both"/>
        <w:rPr>
          <w:rFonts w:cstheme="minorHAnsi"/>
          <w:sz w:val="24"/>
          <w:szCs w:val="24"/>
        </w:rPr>
      </w:pPr>
    </w:p>
    <w:p w14:paraId="61847806" w14:textId="039CC892" w:rsidR="00095C01" w:rsidRPr="00C913DD" w:rsidRDefault="00B9156D" w:rsidP="00C913DD">
      <w:pPr>
        <w:spacing w:line="240" w:lineRule="auto"/>
        <w:contextualSpacing/>
        <w:jc w:val="both"/>
        <w:rPr>
          <w:rFonts w:cstheme="minorHAnsi"/>
          <w:sz w:val="24"/>
          <w:szCs w:val="24"/>
        </w:rPr>
      </w:pPr>
      <w:r w:rsidRPr="00C913DD">
        <w:rPr>
          <w:rFonts w:cstheme="minorHAnsi"/>
          <w:sz w:val="24"/>
          <w:szCs w:val="24"/>
        </w:rPr>
        <w:t>However</w:t>
      </w:r>
      <w:r w:rsidR="00095C01" w:rsidRPr="00C913DD">
        <w:rPr>
          <w:rFonts w:cstheme="minorHAnsi"/>
          <w:sz w:val="24"/>
          <w:szCs w:val="24"/>
        </w:rPr>
        <w:t>,</w:t>
      </w:r>
      <w:r w:rsidRPr="00C913DD">
        <w:rPr>
          <w:rFonts w:cstheme="minorHAnsi"/>
          <w:sz w:val="24"/>
          <w:szCs w:val="24"/>
        </w:rPr>
        <w:t xml:space="preserve"> funding for the central disability inclusion fund was cut by 25</w:t>
      </w:r>
      <w:r w:rsidR="004E4D37" w:rsidRPr="00C913DD">
        <w:rPr>
          <w:rFonts w:cstheme="minorHAnsi"/>
          <w:sz w:val="24"/>
          <w:szCs w:val="24"/>
        </w:rPr>
        <w:t xml:space="preserve"> per cent</w:t>
      </w:r>
      <w:r w:rsidRPr="00C913DD">
        <w:rPr>
          <w:rFonts w:cstheme="minorHAnsi"/>
          <w:sz w:val="24"/>
          <w:szCs w:val="24"/>
        </w:rPr>
        <w:t xml:space="preserve"> from $12.9m to $9.6m – this funding is not reported in budget tables but was confirmed in a DFAT Briefing to aid sector stakeholders on budget night. </w:t>
      </w:r>
      <w:r w:rsidR="00095C01" w:rsidRPr="00C913DD">
        <w:rPr>
          <w:rFonts w:cstheme="minorHAnsi"/>
          <w:sz w:val="24"/>
          <w:szCs w:val="24"/>
        </w:rPr>
        <w:t xml:space="preserve">Gender and disability inclusion are both critical in laying the foundational conditions for inclusive economic and social recovery. The failure to budget adequately for technical expertise on disability inclusion will undermine DFAT’s ability to take an intersectional approach and ensure women with disabilities are able to benefit equally from international development efforts. </w:t>
      </w:r>
    </w:p>
    <w:p w14:paraId="6CC40DE2" w14:textId="29A18F08" w:rsidR="006B116A" w:rsidRPr="00C913DD" w:rsidRDefault="006B116A" w:rsidP="00C913DD">
      <w:pPr>
        <w:pStyle w:val="CommentText"/>
        <w:jc w:val="both"/>
        <w:rPr>
          <w:rFonts w:cstheme="minorHAnsi"/>
          <w:color w:val="000000"/>
          <w:sz w:val="24"/>
          <w:szCs w:val="24"/>
        </w:rPr>
      </w:pPr>
      <w:r w:rsidRPr="00C913DD">
        <w:rPr>
          <w:rFonts w:cstheme="minorHAnsi"/>
          <w:sz w:val="24"/>
          <w:szCs w:val="24"/>
        </w:rPr>
        <w:t xml:space="preserve">Cuts to conflict and post-conflict contexts in the Middle East and North Africa will negatively impact on women. Australia’s increasing militarization is </w:t>
      </w:r>
      <w:r w:rsidR="00F62A77" w:rsidRPr="00C913DD">
        <w:rPr>
          <w:rFonts w:cstheme="minorHAnsi"/>
          <w:sz w:val="24"/>
          <w:szCs w:val="24"/>
        </w:rPr>
        <w:t xml:space="preserve">misguided, as the use </w:t>
      </w:r>
      <w:r w:rsidRPr="00C913DD">
        <w:rPr>
          <w:rFonts w:cstheme="minorHAnsi"/>
          <w:color w:val="000000"/>
          <w:sz w:val="24"/>
          <w:szCs w:val="24"/>
        </w:rPr>
        <w:t>of force in conflict resolution has been found to create an</w:t>
      </w:r>
      <w:r w:rsidR="00671CDB" w:rsidRPr="00C913DD">
        <w:rPr>
          <w:rFonts w:cstheme="minorHAnsi"/>
          <w:color w:val="000000"/>
          <w:sz w:val="24"/>
          <w:szCs w:val="24"/>
        </w:rPr>
        <w:t>d perpetuate cycles of violence,</w:t>
      </w:r>
      <w:r w:rsidRPr="00C913DD">
        <w:rPr>
          <w:rFonts w:cstheme="minorHAnsi"/>
          <w:color w:val="000000"/>
          <w:sz w:val="24"/>
          <w:szCs w:val="24"/>
        </w:rPr>
        <w:t xml:space="preserve"> </w:t>
      </w:r>
      <w:r w:rsidR="00671CDB" w:rsidRPr="00C913DD">
        <w:rPr>
          <w:rFonts w:cstheme="minorHAnsi"/>
          <w:color w:val="000000"/>
          <w:sz w:val="24"/>
          <w:szCs w:val="24"/>
        </w:rPr>
        <w:t xml:space="preserve">and risks </w:t>
      </w:r>
      <w:r w:rsidRPr="00C913DD">
        <w:rPr>
          <w:rFonts w:cstheme="minorHAnsi"/>
          <w:color w:val="000000"/>
          <w:sz w:val="24"/>
          <w:szCs w:val="24"/>
        </w:rPr>
        <w:t>worsening the situation for women who are already grappling with the intersecting threats of COVID-19, economic recession, climate change and deteriorating gender inequality</w:t>
      </w:r>
      <w:r w:rsidR="00916375" w:rsidRPr="00C913DD">
        <w:rPr>
          <w:rFonts w:cstheme="minorHAnsi"/>
          <w:color w:val="000000"/>
          <w:sz w:val="24"/>
          <w:szCs w:val="24"/>
        </w:rPr>
        <w:t xml:space="preserve"> (</w:t>
      </w:r>
      <w:hyperlink r:id="rId28" w:history="1">
        <w:r w:rsidR="00916375" w:rsidRPr="00C913DD">
          <w:rPr>
            <w:rStyle w:val="Hyperlink"/>
            <w:rFonts w:cstheme="minorHAnsi"/>
            <w:sz w:val="24"/>
            <w:szCs w:val="24"/>
          </w:rPr>
          <w:t>UN Women</w:t>
        </w:r>
      </w:hyperlink>
      <w:r w:rsidR="00916375" w:rsidRPr="00C913DD">
        <w:rPr>
          <w:rFonts w:cstheme="minorHAnsi"/>
          <w:color w:val="000000"/>
          <w:sz w:val="24"/>
          <w:szCs w:val="24"/>
        </w:rPr>
        <w:t>, 2015)</w:t>
      </w:r>
      <w:r w:rsidRPr="00C913DD">
        <w:rPr>
          <w:rFonts w:cstheme="minorHAnsi"/>
          <w:color w:val="000000"/>
          <w:sz w:val="24"/>
          <w:szCs w:val="24"/>
        </w:rPr>
        <w:t>.</w:t>
      </w:r>
      <w:r w:rsidR="00671CDB" w:rsidRPr="00C913DD">
        <w:rPr>
          <w:rFonts w:cstheme="minorHAnsi"/>
          <w:color w:val="000000"/>
          <w:sz w:val="24"/>
          <w:szCs w:val="24"/>
        </w:rPr>
        <w:t xml:space="preserve"> The failure to signal Australia’s commitment to the Women, Peace and Security Agenda is disappointing, particularly as the world celebrates the 20</w:t>
      </w:r>
      <w:r w:rsidR="00671CDB" w:rsidRPr="00C913DD">
        <w:rPr>
          <w:rFonts w:cstheme="minorHAnsi"/>
          <w:color w:val="000000"/>
          <w:sz w:val="24"/>
          <w:szCs w:val="24"/>
          <w:vertAlign w:val="superscript"/>
        </w:rPr>
        <w:t>th</w:t>
      </w:r>
      <w:r w:rsidR="00671CDB" w:rsidRPr="00C913DD">
        <w:rPr>
          <w:rFonts w:cstheme="minorHAnsi"/>
          <w:color w:val="000000"/>
          <w:sz w:val="24"/>
          <w:szCs w:val="24"/>
        </w:rPr>
        <w:t xml:space="preserve"> anniversary of this agenda in October 2020. </w:t>
      </w:r>
      <w:r w:rsidRPr="00C913DD">
        <w:rPr>
          <w:rFonts w:cstheme="minorHAnsi"/>
          <w:sz w:val="24"/>
          <w:szCs w:val="24"/>
        </w:rPr>
        <w:t>T</w:t>
      </w:r>
      <w:r w:rsidRPr="00C913DD">
        <w:rPr>
          <w:rFonts w:cstheme="minorHAnsi"/>
          <w:color w:val="000000"/>
          <w:sz w:val="24"/>
          <w:szCs w:val="24"/>
        </w:rPr>
        <w:t xml:space="preserve">he Government </w:t>
      </w:r>
      <w:r w:rsidR="00671CDB" w:rsidRPr="00C913DD">
        <w:rPr>
          <w:rFonts w:cstheme="minorHAnsi"/>
          <w:color w:val="000000"/>
          <w:sz w:val="24"/>
          <w:szCs w:val="24"/>
        </w:rPr>
        <w:t xml:space="preserve">is yet to release </w:t>
      </w:r>
      <w:r w:rsidRPr="00C913DD">
        <w:rPr>
          <w:rFonts w:cstheme="minorHAnsi"/>
          <w:color w:val="000000"/>
          <w:sz w:val="24"/>
          <w:szCs w:val="24"/>
        </w:rPr>
        <w:t xml:space="preserve">the 2nd National Action Plan on Women, Peace and Security, which was </w:t>
      </w:r>
      <w:r w:rsidR="00671CDB" w:rsidRPr="00C913DD">
        <w:rPr>
          <w:rFonts w:cstheme="minorHAnsi"/>
          <w:color w:val="000000"/>
          <w:sz w:val="24"/>
          <w:szCs w:val="24"/>
        </w:rPr>
        <w:t>due</w:t>
      </w:r>
      <w:r w:rsidRPr="00C913DD">
        <w:rPr>
          <w:rFonts w:cstheme="minorHAnsi"/>
          <w:color w:val="000000"/>
          <w:sz w:val="24"/>
          <w:szCs w:val="24"/>
        </w:rPr>
        <w:t xml:space="preserve"> in 2019.  </w:t>
      </w:r>
    </w:p>
    <w:p w14:paraId="1A2BDFA0" w14:textId="2FA95178" w:rsidR="00407970" w:rsidRPr="00C913DD" w:rsidRDefault="00407970" w:rsidP="00C913DD">
      <w:pPr>
        <w:pStyle w:val="CommentText"/>
        <w:jc w:val="both"/>
        <w:rPr>
          <w:rFonts w:cstheme="minorHAnsi"/>
          <w:sz w:val="24"/>
          <w:szCs w:val="24"/>
        </w:rPr>
      </w:pPr>
      <w:proofErr w:type="gramStart"/>
      <w:r w:rsidRPr="00C913DD">
        <w:rPr>
          <w:rFonts w:cstheme="minorHAnsi"/>
          <w:sz w:val="24"/>
          <w:szCs w:val="24"/>
        </w:rPr>
        <w:t>Also</w:t>
      </w:r>
      <w:proofErr w:type="gramEnd"/>
      <w:r w:rsidRPr="00C913DD">
        <w:rPr>
          <w:rFonts w:cstheme="minorHAnsi"/>
          <w:sz w:val="24"/>
          <w:szCs w:val="24"/>
        </w:rPr>
        <w:t xml:space="preserve"> of concern is a trend within recent policy statements from DFAT, which characterize women and people with disabilities as </w:t>
      </w:r>
      <w:r w:rsidR="00095C01" w:rsidRPr="00C913DD">
        <w:rPr>
          <w:rFonts w:cstheme="minorHAnsi"/>
          <w:sz w:val="24"/>
          <w:szCs w:val="24"/>
        </w:rPr>
        <w:t xml:space="preserve">“vulnerable” and in need of “protection.” This deficient-based framing </w:t>
      </w:r>
      <w:r w:rsidRPr="00C913DD">
        <w:rPr>
          <w:rFonts w:cstheme="minorHAnsi"/>
          <w:sz w:val="24"/>
          <w:szCs w:val="24"/>
        </w:rPr>
        <w:t xml:space="preserve">is a backwards step, even compared to existing gender equality and disability inclusive development programs, which take a </w:t>
      </w:r>
      <w:r w:rsidR="00C913DD" w:rsidRPr="00C913DD">
        <w:rPr>
          <w:rFonts w:cstheme="minorHAnsi"/>
          <w:sz w:val="24"/>
          <w:szCs w:val="24"/>
        </w:rPr>
        <w:t>rights-based</w:t>
      </w:r>
      <w:r w:rsidRPr="00C913DD">
        <w:rPr>
          <w:rFonts w:cstheme="minorHAnsi"/>
          <w:sz w:val="24"/>
          <w:szCs w:val="24"/>
        </w:rPr>
        <w:t xml:space="preserve"> approach to inclusion and aim to transform systems of inequality.  </w:t>
      </w:r>
    </w:p>
    <w:p w14:paraId="6A830C05" w14:textId="77777777" w:rsidR="00EB5575" w:rsidRPr="00C913DD" w:rsidRDefault="00EB5575" w:rsidP="00C913DD">
      <w:pPr>
        <w:pStyle w:val="Heading1"/>
      </w:pPr>
      <w:r w:rsidRPr="00C913DD">
        <w:t>Recommendations</w:t>
      </w:r>
    </w:p>
    <w:p w14:paraId="36C49B44" w14:textId="0573B9A0" w:rsidR="00C913DD" w:rsidRPr="00C913DD" w:rsidRDefault="00C913DD" w:rsidP="00C913DD">
      <w:pPr>
        <w:spacing w:line="240" w:lineRule="auto"/>
        <w:jc w:val="both"/>
        <w:rPr>
          <w:rFonts w:cstheme="minorHAnsi"/>
          <w:sz w:val="24"/>
          <w:szCs w:val="24"/>
        </w:rPr>
      </w:pPr>
      <w:r>
        <w:rPr>
          <w:rFonts w:cstheme="minorHAnsi"/>
          <w:sz w:val="24"/>
          <w:szCs w:val="24"/>
        </w:rPr>
        <w:t>NFAW recommends that the Government:</w:t>
      </w:r>
    </w:p>
    <w:p w14:paraId="54D443E3" w14:textId="3A219E59" w:rsidR="00233765" w:rsidRPr="00C913DD" w:rsidRDefault="00233765" w:rsidP="00C913DD">
      <w:pPr>
        <w:pStyle w:val="ListParagraph"/>
        <w:numPr>
          <w:ilvl w:val="0"/>
          <w:numId w:val="26"/>
        </w:numPr>
        <w:spacing w:line="240" w:lineRule="auto"/>
        <w:jc w:val="both"/>
        <w:rPr>
          <w:rFonts w:cstheme="minorHAnsi"/>
          <w:sz w:val="24"/>
          <w:szCs w:val="24"/>
        </w:rPr>
      </w:pPr>
      <w:r w:rsidRPr="00C913DD">
        <w:rPr>
          <w:rFonts w:cstheme="minorHAnsi"/>
          <w:sz w:val="24"/>
          <w:szCs w:val="24"/>
        </w:rPr>
        <w:t>Commit to ongoing and increased funding for</w:t>
      </w:r>
      <w:r w:rsidR="00EE4D0B" w:rsidRPr="00C913DD">
        <w:rPr>
          <w:rFonts w:cstheme="minorHAnsi"/>
          <w:sz w:val="24"/>
          <w:szCs w:val="24"/>
        </w:rPr>
        <w:t xml:space="preserve"> the</w:t>
      </w:r>
      <w:r w:rsidRPr="00C913DD">
        <w:rPr>
          <w:rFonts w:cstheme="minorHAnsi"/>
          <w:sz w:val="24"/>
          <w:szCs w:val="24"/>
        </w:rPr>
        <w:t xml:space="preserve"> </w:t>
      </w:r>
      <w:r w:rsidR="00EE4D0B" w:rsidRPr="00C913DD">
        <w:rPr>
          <w:rFonts w:cstheme="minorHAnsi"/>
          <w:sz w:val="24"/>
          <w:szCs w:val="24"/>
        </w:rPr>
        <w:t xml:space="preserve">international </w:t>
      </w:r>
      <w:r w:rsidRPr="00C913DD">
        <w:rPr>
          <w:rFonts w:cstheme="minorHAnsi"/>
          <w:sz w:val="24"/>
          <w:szCs w:val="24"/>
        </w:rPr>
        <w:t xml:space="preserve">development </w:t>
      </w:r>
      <w:r w:rsidR="00645439" w:rsidRPr="00C913DD">
        <w:rPr>
          <w:rFonts w:cstheme="minorHAnsi"/>
          <w:sz w:val="24"/>
          <w:szCs w:val="24"/>
        </w:rPr>
        <w:t>budget</w:t>
      </w:r>
      <w:r w:rsidRPr="00C913DD">
        <w:rPr>
          <w:rFonts w:cstheme="minorHAnsi"/>
          <w:sz w:val="24"/>
          <w:szCs w:val="24"/>
        </w:rPr>
        <w:t>, including g</w:t>
      </w:r>
      <w:r w:rsidR="00EE4D0B" w:rsidRPr="00C913DD">
        <w:rPr>
          <w:rFonts w:cstheme="minorHAnsi"/>
          <w:sz w:val="24"/>
          <w:szCs w:val="24"/>
        </w:rPr>
        <w:t xml:space="preserve">ender equality programming, to </w:t>
      </w:r>
      <w:r w:rsidRPr="00C913DD">
        <w:rPr>
          <w:rFonts w:cstheme="minorHAnsi"/>
          <w:sz w:val="24"/>
          <w:szCs w:val="24"/>
        </w:rPr>
        <w:t xml:space="preserve">lay the foundation for COVID-19 response and recovery. </w:t>
      </w:r>
    </w:p>
    <w:p w14:paraId="21FE098C" w14:textId="6CAF8167" w:rsidR="001E4558" w:rsidRPr="00C913DD" w:rsidRDefault="001E4558" w:rsidP="00C913DD">
      <w:pPr>
        <w:pStyle w:val="ListParagraph"/>
        <w:numPr>
          <w:ilvl w:val="0"/>
          <w:numId w:val="26"/>
        </w:numPr>
        <w:spacing w:line="240" w:lineRule="auto"/>
        <w:jc w:val="both"/>
        <w:rPr>
          <w:rFonts w:cstheme="minorHAnsi"/>
          <w:sz w:val="24"/>
          <w:szCs w:val="24"/>
        </w:rPr>
      </w:pPr>
      <w:r w:rsidRPr="00C913DD">
        <w:rPr>
          <w:rFonts w:cstheme="minorHAnsi"/>
          <w:sz w:val="24"/>
          <w:szCs w:val="24"/>
        </w:rPr>
        <w:t>Continue to increase the amount of gender equality funds supporting gender-specific activities</w:t>
      </w:r>
      <w:r w:rsidR="004740F5" w:rsidRPr="00C913DD">
        <w:rPr>
          <w:rFonts w:cstheme="minorHAnsi"/>
          <w:sz w:val="24"/>
          <w:szCs w:val="24"/>
        </w:rPr>
        <w:t>.</w:t>
      </w:r>
    </w:p>
    <w:p w14:paraId="27F58DF8" w14:textId="45607F3C" w:rsidR="00233765" w:rsidRPr="00C913DD" w:rsidRDefault="00233765" w:rsidP="00C913DD">
      <w:pPr>
        <w:pStyle w:val="ListParagraph"/>
        <w:numPr>
          <w:ilvl w:val="0"/>
          <w:numId w:val="26"/>
        </w:numPr>
        <w:spacing w:line="240" w:lineRule="auto"/>
        <w:jc w:val="both"/>
        <w:rPr>
          <w:rFonts w:cstheme="minorHAnsi"/>
          <w:sz w:val="24"/>
          <w:szCs w:val="24"/>
        </w:rPr>
      </w:pPr>
      <w:r w:rsidRPr="00C913DD">
        <w:rPr>
          <w:rFonts w:cstheme="minorHAnsi"/>
          <w:sz w:val="24"/>
          <w:szCs w:val="24"/>
        </w:rPr>
        <w:t>Consult with women’s rights groups on the allocation of new funding for COVID-19 response and recovery.</w:t>
      </w:r>
    </w:p>
    <w:p w14:paraId="5DF186BA" w14:textId="09353D8D" w:rsidR="00233765" w:rsidRPr="00C913DD" w:rsidRDefault="00233765" w:rsidP="00C913DD">
      <w:pPr>
        <w:pStyle w:val="ListParagraph"/>
        <w:numPr>
          <w:ilvl w:val="0"/>
          <w:numId w:val="26"/>
        </w:numPr>
        <w:spacing w:line="240" w:lineRule="auto"/>
        <w:jc w:val="both"/>
        <w:rPr>
          <w:rFonts w:cstheme="minorHAnsi"/>
          <w:sz w:val="24"/>
          <w:szCs w:val="24"/>
        </w:rPr>
      </w:pPr>
      <w:r w:rsidRPr="00C913DD">
        <w:rPr>
          <w:rFonts w:cstheme="minorHAnsi"/>
          <w:sz w:val="24"/>
          <w:szCs w:val="24"/>
        </w:rPr>
        <w:t>Ensure that any new funding is accessible to local women’s rights organisations.</w:t>
      </w:r>
    </w:p>
    <w:p w14:paraId="5A8711A1" w14:textId="5F832382" w:rsidR="00671CDB" w:rsidRPr="00C913DD" w:rsidRDefault="00671CDB" w:rsidP="00C913DD">
      <w:pPr>
        <w:pStyle w:val="ListParagraph"/>
        <w:numPr>
          <w:ilvl w:val="0"/>
          <w:numId w:val="26"/>
        </w:numPr>
        <w:spacing w:line="240" w:lineRule="auto"/>
        <w:jc w:val="both"/>
        <w:rPr>
          <w:rFonts w:cstheme="minorHAnsi"/>
          <w:sz w:val="24"/>
          <w:szCs w:val="24"/>
        </w:rPr>
      </w:pPr>
      <w:r w:rsidRPr="00C913DD">
        <w:rPr>
          <w:rFonts w:cstheme="minorHAnsi"/>
          <w:sz w:val="24"/>
          <w:szCs w:val="24"/>
        </w:rPr>
        <w:t>Release the 2</w:t>
      </w:r>
      <w:r w:rsidRPr="00C913DD">
        <w:rPr>
          <w:rFonts w:cstheme="minorHAnsi"/>
          <w:sz w:val="24"/>
          <w:szCs w:val="24"/>
          <w:vertAlign w:val="superscript"/>
        </w:rPr>
        <w:t>nd</w:t>
      </w:r>
      <w:r w:rsidRPr="00C913DD">
        <w:rPr>
          <w:rFonts w:cstheme="minorHAnsi"/>
          <w:sz w:val="24"/>
          <w:szCs w:val="24"/>
        </w:rPr>
        <w:t xml:space="preserve"> National Action P</w:t>
      </w:r>
      <w:r w:rsidR="004740F5" w:rsidRPr="00C913DD">
        <w:rPr>
          <w:rFonts w:cstheme="minorHAnsi"/>
          <w:sz w:val="24"/>
          <w:szCs w:val="24"/>
        </w:rPr>
        <w:t>lan on Women Peace and Security.</w:t>
      </w:r>
    </w:p>
    <w:p w14:paraId="4E11974A" w14:textId="5555747E" w:rsidR="00027E4C" w:rsidRPr="00C913DD" w:rsidRDefault="00233765" w:rsidP="00C913DD">
      <w:pPr>
        <w:pStyle w:val="ListParagraph"/>
        <w:numPr>
          <w:ilvl w:val="0"/>
          <w:numId w:val="26"/>
        </w:numPr>
        <w:spacing w:line="240" w:lineRule="auto"/>
        <w:jc w:val="both"/>
        <w:rPr>
          <w:rFonts w:cstheme="minorHAnsi"/>
          <w:sz w:val="24"/>
          <w:szCs w:val="24"/>
        </w:rPr>
      </w:pPr>
      <w:r w:rsidRPr="00C913DD">
        <w:rPr>
          <w:rFonts w:cstheme="minorHAnsi"/>
          <w:sz w:val="24"/>
          <w:szCs w:val="24"/>
        </w:rPr>
        <w:t xml:space="preserve">Recommit </w:t>
      </w:r>
      <w:r w:rsidR="001C582E" w:rsidRPr="00C913DD">
        <w:rPr>
          <w:rFonts w:cstheme="minorHAnsi"/>
          <w:sz w:val="24"/>
          <w:szCs w:val="24"/>
        </w:rPr>
        <w:t xml:space="preserve">to aid transparency, by returning the Orange Book and </w:t>
      </w:r>
      <w:r w:rsidR="00645439" w:rsidRPr="00C913DD">
        <w:rPr>
          <w:rFonts w:cstheme="minorHAnsi"/>
          <w:sz w:val="24"/>
          <w:szCs w:val="24"/>
        </w:rPr>
        <w:t>releasing</w:t>
      </w:r>
      <w:r w:rsidR="001C582E" w:rsidRPr="00C913DD">
        <w:rPr>
          <w:rFonts w:cstheme="minorHAnsi"/>
          <w:sz w:val="24"/>
          <w:szCs w:val="24"/>
        </w:rPr>
        <w:t xml:space="preserve"> the Performance of Australian Aid report for 2020. </w:t>
      </w:r>
    </w:p>
    <w:p w14:paraId="0F493242" w14:textId="71C26A01" w:rsidR="00EB5575" w:rsidRDefault="00027E4C" w:rsidP="00C913DD">
      <w:pPr>
        <w:pStyle w:val="Heading1"/>
      </w:pPr>
      <w:r>
        <w:t>R</w:t>
      </w:r>
      <w:r w:rsidR="008725FD">
        <w:t>eferences</w:t>
      </w:r>
    </w:p>
    <w:bookmarkEnd w:id="0"/>
    <w:p w14:paraId="52BDE071" w14:textId="58C5DFA5" w:rsidR="00737338" w:rsidRPr="00C913DD" w:rsidRDefault="00737338" w:rsidP="00737338">
      <w:pPr>
        <w:rPr>
          <w:i/>
          <w:sz w:val="22"/>
          <w:szCs w:val="22"/>
        </w:rPr>
      </w:pPr>
      <w:r w:rsidRPr="00C913DD">
        <w:rPr>
          <w:sz w:val="22"/>
          <w:szCs w:val="22"/>
        </w:rPr>
        <w:t xml:space="preserve">ACFID. 2020. </w:t>
      </w:r>
      <w:r w:rsidRPr="00C913DD">
        <w:rPr>
          <w:i/>
          <w:sz w:val="22"/>
          <w:szCs w:val="22"/>
        </w:rPr>
        <w:t>2020-2021 Development Budget: Facts and Figures.</w:t>
      </w:r>
      <w:r w:rsidRPr="00C913DD">
        <w:rPr>
          <w:sz w:val="22"/>
          <w:szCs w:val="22"/>
        </w:rPr>
        <w:t xml:space="preserve"> </w:t>
      </w:r>
      <w:hyperlink r:id="rId29" w:history="1">
        <w:r w:rsidRPr="00C913DD">
          <w:rPr>
            <w:rStyle w:val="Hyperlink"/>
            <w:sz w:val="22"/>
            <w:szCs w:val="22"/>
          </w:rPr>
          <w:t>https://acfid.asn.au/sites/site.acfid/files/ACFID%202020-2021%20Budget%20Analysis%20%281%29.pdf</w:t>
        </w:r>
      </w:hyperlink>
      <w:r w:rsidRPr="00C913DD">
        <w:rPr>
          <w:i/>
          <w:sz w:val="22"/>
          <w:szCs w:val="22"/>
        </w:rPr>
        <w:t xml:space="preserve"> </w:t>
      </w:r>
    </w:p>
    <w:p w14:paraId="147A41EC" w14:textId="77777777" w:rsidR="001C0601" w:rsidRPr="00C913DD" w:rsidRDefault="001C0601" w:rsidP="001C0601">
      <w:pPr>
        <w:rPr>
          <w:sz w:val="22"/>
          <w:szCs w:val="22"/>
        </w:rPr>
      </w:pPr>
      <w:r w:rsidRPr="00C913DD">
        <w:rPr>
          <w:sz w:val="22"/>
          <w:szCs w:val="22"/>
        </w:rPr>
        <w:t xml:space="preserve">Commonwealth of Australia. 2020. JOINT STANDING COMMITTEE ON FOREIGN AFFAIRS, DEFENCE AND TRADE, Public hearing: Australia's relationships with the Pacific. 3 September 2020. </w:t>
      </w:r>
      <w:hyperlink r:id="rId30" w:history="1">
        <w:r w:rsidRPr="00C913DD">
          <w:rPr>
            <w:rStyle w:val="Hyperlink"/>
            <w:sz w:val="22"/>
            <w:szCs w:val="22"/>
          </w:rPr>
          <w:t>https://parlinfo.aph.gov.au/parlInfo/download/committees/commjnt/7b143fda-87b0-4fee-b2b4-f94480594bdc/toc_pdf/Joint%20Standing%20Committee%20on%20Foreign%20Affairs,%20Defence%20and%20Trade_2020_09_03_8067.pdf;fileType=application%2Fpdf</w:t>
        </w:r>
      </w:hyperlink>
    </w:p>
    <w:p w14:paraId="02A91751" w14:textId="77777777" w:rsidR="00737338" w:rsidRPr="00C913DD" w:rsidRDefault="00737338" w:rsidP="00737338">
      <w:pPr>
        <w:rPr>
          <w:i/>
          <w:sz w:val="22"/>
          <w:szCs w:val="22"/>
        </w:rPr>
      </w:pPr>
      <w:r w:rsidRPr="00C913DD">
        <w:rPr>
          <w:sz w:val="22"/>
          <w:szCs w:val="22"/>
        </w:rPr>
        <w:t xml:space="preserve">DFAT. 2020. </w:t>
      </w:r>
      <w:r w:rsidRPr="00C913DD">
        <w:rPr>
          <w:i/>
          <w:sz w:val="22"/>
          <w:szCs w:val="22"/>
        </w:rPr>
        <w:t xml:space="preserve">Partnerships for Recovery: Australian Official Development Assistance 2020-21. </w:t>
      </w:r>
      <w:hyperlink r:id="rId31" w:history="1">
        <w:r w:rsidRPr="00C913DD">
          <w:rPr>
            <w:rStyle w:val="Hyperlink"/>
            <w:sz w:val="22"/>
            <w:szCs w:val="22"/>
          </w:rPr>
          <w:t>https://www.dfat.gov.au/sites/default/files/2020-21-aid-budget-summary.pdf</w:t>
        </w:r>
      </w:hyperlink>
      <w:r w:rsidRPr="00C913DD">
        <w:rPr>
          <w:i/>
          <w:sz w:val="22"/>
          <w:szCs w:val="22"/>
        </w:rPr>
        <w:t xml:space="preserve"> </w:t>
      </w:r>
    </w:p>
    <w:p w14:paraId="5C0DE656" w14:textId="77777777" w:rsidR="00737338" w:rsidRPr="00C913DD" w:rsidRDefault="00737338" w:rsidP="00737338">
      <w:pPr>
        <w:rPr>
          <w:sz w:val="22"/>
          <w:szCs w:val="22"/>
        </w:rPr>
      </w:pPr>
      <w:r w:rsidRPr="00C913DD">
        <w:rPr>
          <w:sz w:val="22"/>
          <w:szCs w:val="22"/>
        </w:rPr>
        <w:t xml:space="preserve">Eastern Highlands Family Voice, Wide Bay Conservation Association, Voice for Change, </w:t>
      </w:r>
      <w:proofErr w:type="spellStart"/>
      <w:r w:rsidRPr="00C913DD">
        <w:rPr>
          <w:sz w:val="22"/>
          <w:szCs w:val="22"/>
        </w:rPr>
        <w:t>Femili</w:t>
      </w:r>
      <w:proofErr w:type="spellEnd"/>
      <w:r w:rsidRPr="00C913DD">
        <w:rPr>
          <w:sz w:val="22"/>
          <w:szCs w:val="22"/>
        </w:rPr>
        <w:t xml:space="preserve"> PNG &amp; IWDA. 2020. </w:t>
      </w:r>
      <w:r w:rsidRPr="00C913DD">
        <w:rPr>
          <w:i/>
          <w:sz w:val="22"/>
          <w:szCs w:val="22"/>
        </w:rPr>
        <w:t xml:space="preserve">Submission to the United Nations Special Rapporteur on Violence Against Women: COVID-19 Domestic Violence Against Women in Papua New Guinea. </w:t>
      </w:r>
      <w:r w:rsidRPr="00C913DD">
        <w:rPr>
          <w:sz w:val="22"/>
          <w:szCs w:val="22"/>
        </w:rPr>
        <w:t xml:space="preserve"> </w:t>
      </w:r>
      <w:hyperlink r:id="rId32" w:history="1">
        <w:r w:rsidRPr="00C913DD">
          <w:rPr>
            <w:rStyle w:val="Hyperlink"/>
            <w:sz w:val="22"/>
            <w:szCs w:val="22"/>
          </w:rPr>
          <w:t>https://iwda.org.au/assets/files/COVID-19-and-Gender-Based-Violence-in-PNG-FINAL-Submission_v3.pdf</w:t>
        </w:r>
      </w:hyperlink>
      <w:r w:rsidRPr="00C913DD">
        <w:rPr>
          <w:sz w:val="22"/>
          <w:szCs w:val="22"/>
        </w:rPr>
        <w:t xml:space="preserve"> </w:t>
      </w:r>
    </w:p>
    <w:p w14:paraId="1DD61530" w14:textId="77777777" w:rsidR="00017027" w:rsidRPr="00C913DD" w:rsidRDefault="00017027" w:rsidP="00017027">
      <w:pPr>
        <w:rPr>
          <w:sz w:val="22"/>
          <w:szCs w:val="22"/>
        </w:rPr>
      </w:pPr>
      <w:r w:rsidRPr="00C913DD">
        <w:rPr>
          <w:sz w:val="22"/>
          <w:szCs w:val="22"/>
        </w:rPr>
        <w:t xml:space="preserve">Government of Australia. 2020. </w:t>
      </w:r>
      <w:r w:rsidRPr="00C913DD">
        <w:rPr>
          <w:i/>
          <w:sz w:val="22"/>
          <w:szCs w:val="22"/>
        </w:rPr>
        <w:t>Australia's Support for Southeast Asia's COVID-19 Recovery.</w:t>
      </w:r>
      <w:r w:rsidRPr="00C913DD">
        <w:rPr>
          <w:sz w:val="22"/>
          <w:szCs w:val="22"/>
        </w:rPr>
        <w:t xml:space="preserve"> Media Release. </w:t>
      </w:r>
      <w:hyperlink r:id="rId33" w:history="1">
        <w:r w:rsidRPr="00C913DD">
          <w:rPr>
            <w:rStyle w:val="Hyperlink"/>
            <w:sz w:val="22"/>
            <w:szCs w:val="22"/>
          </w:rPr>
          <w:t>https://www.foreignminister.gov.au/minister/marise-payne/media-release/australias-support-southeast-asias-covid-19-recovery</w:t>
        </w:r>
      </w:hyperlink>
      <w:r w:rsidRPr="00C913DD">
        <w:rPr>
          <w:sz w:val="22"/>
          <w:szCs w:val="22"/>
        </w:rPr>
        <w:t xml:space="preserve"> </w:t>
      </w:r>
    </w:p>
    <w:p w14:paraId="7D537BD7" w14:textId="5A467F54" w:rsidR="00EE24D6" w:rsidRPr="00C913DD" w:rsidRDefault="001C0601" w:rsidP="001C0601">
      <w:pPr>
        <w:rPr>
          <w:sz w:val="22"/>
          <w:szCs w:val="22"/>
        </w:rPr>
      </w:pPr>
      <w:r w:rsidRPr="00C913DD">
        <w:rPr>
          <w:sz w:val="22"/>
          <w:szCs w:val="22"/>
        </w:rPr>
        <w:t xml:space="preserve">Hawke. 2020. </w:t>
      </w:r>
      <w:r w:rsidR="00265B06" w:rsidRPr="00C913DD">
        <w:rPr>
          <w:i/>
          <w:sz w:val="22"/>
          <w:szCs w:val="22"/>
        </w:rPr>
        <w:t>Transcript:</w:t>
      </w:r>
      <w:r w:rsidR="00265B06" w:rsidRPr="00C913DD">
        <w:rPr>
          <w:sz w:val="22"/>
          <w:szCs w:val="22"/>
        </w:rPr>
        <w:t xml:space="preserve"> </w:t>
      </w:r>
      <w:r w:rsidRPr="00C913DD">
        <w:rPr>
          <w:i/>
          <w:sz w:val="22"/>
          <w:szCs w:val="22"/>
        </w:rPr>
        <w:t xml:space="preserve">Interview with Stephen </w:t>
      </w:r>
      <w:proofErr w:type="spellStart"/>
      <w:r w:rsidRPr="00C913DD">
        <w:rPr>
          <w:i/>
          <w:sz w:val="22"/>
          <w:szCs w:val="22"/>
        </w:rPr>
        <w:t>Dziedzic</w:t>
      </w:r>
      <w:proofErr w:type="spellEnd"/>
      <w:r w:rsidRPr="00C913DD">
        <w:rPr>
          <w:sz w:val="22"/>
          <w:szCs w:val="22"/>
        </w:rPr>
        <w:t xml:space="preserve">. ABC News Channel. 11 September 2020. </w:t>
      </w:r>
      <w:hyperlink r:id="rId34" w:history="1">
        <w:r w:rsidRPr="00C913DD">
          <w:rPr>
            <w:rStyle w:val="Hyperlink"/>
            <w:sz w:val="22"/>
            <w:szCs w:val="22"/>
          </w:rPr>
          <w:t>https://ministers.dfat.gov.au/minister/alex-hawke-mp/transcript/interview-stephen-dziedzic-abc-news-channel</w:t>
        </w:r>
      </w:hyperlink>
      <w:r w:rsidRPr="00C913DD">
        <w:rPr>
          <w:sz w:val="22"/>
          <w:szCs w:val="22"/>
        </w:rPr>
        <w:t xml:space="preserve">  </w:t>
      </w:r>
    </w:p>
    <w:p w14:paraId="22368B5A" w14:textId="0058A4D3" w:rsidR="00737338" w:rsidRPr="00C913DD" w:rsidRDefault="00737338" w:rsidP="00737338">
      <w:pPr>
        <w:rPr>
          <w:rStyle w:val="Hyperlink"/>
          <w:sz w:val="22"/>
          <w:szCs w:val="22"/>
        </w:rPr>
      </w:pPr>
      <w:r w:rsidRPr="00C913DD">
        <w:rPr>
          <w:sz w:val="22"/>
          <w:szCs w:val="22"/>
        </w:rPr>
        <w:t xml:space="preserve">Howes, Stephen. 2020. </w:t>
      </w:r>
      <w:r w:rsidRPr="00C913DD">
        <w:rPr>
          <w:i/>
          <w:sz w:val="22"/>
          <w:szCs w:val="22"/>
        </w:rPr>
        <w:t>Total aid increased but cruel cuts outside the Pacific.</w:t>
      </w:r>
      <w:r w:rsidRPr="00C913DD">
        <w:rPr>
          <w:sz w:val="22"/>
          <w:szCs w:val="22"/>
        </w:rPr>
        <w:t xml:space="preserve"> </w:t>
      </w:r>
      <w:proofErr w:type="spellStart"/>
      <w:r w:rsidRPr="00C913DD">
        <w:rPr>
          <w:sz w:val="22"/>
          <w:szCs w:val="22"/>
        </w:rPr>
        <w:t>DevPolicy</w:t>
      </w:r>
      <w:proofErr w:type="spellEnd"/>
      <w:r w:rsidRPr="00C913DD">
        <w:rPr>
          <w:sz w:val="22"/>
          <w:szCs w:val="22"/>
        </w:rPr>
        <w:t xml:space="preserve"> Blog. 7 October 2020. </w:t>
      </w:r>
      <w:hyperlink r:id="rId35" w:history="1">
        <w:r w:rsidRPr="00C913DD">
          <w:rPr>
            <w:rStyle w:val="Hyperlink"/>
            <w:sz w:val="22"/>
            <w:szCs w:val="22"/>
          </w:rPr>
          <w:t>https://devpolicy.org/2020-aid-budget-20201007/</w:t>
        </w:r>
      </w:hyperlink>
    </w:p>
    <w:p w14:paraId="63B7D950" w14:textId="3FE57B94" w:rsidR="00645439" w:rsidRPr="00C913DD" w:rsidRDefault="00645439" w:rsidP="00737338">
      <w:pPr>
        <w:rPr>
          <w:sz w:val="22"/>
          <w:szCs w:val="22"/>
        </w:rPr>
      </w:pPr>
      <w:r w:rsidRPr="00C913DD">
        <w:rPr>
          <w:rStyle w:val="Hyperlink"/>
          <w:color w:val="auto"/>
          <w:sz w:val="22"/>
          <w:szCs w:val="22"/>
          <w:u w:val="none"/>
        </w:rPr>
        <w:t xml:space="preserve">Individual Deprivation Measure. 2020. </w:t>
      </w:r>
      <w:r w:rsidRPr="00C913DD">
        <w:rPr>
          <w:rStyle w:val="Hyperlink"/>
          <w:i/>
          <w:color w:val="auto"/>
          <w:sz w:val="22"/>
          <w:szCs w:val="22"/>
          <w:u w:val="none"/>
        </w:rPr>
        <w:t xml:space="preserve">Fiji: Planning for prevention: Spotlighting potential gendered implications of COVID-19. </w:t>
      </w:r>
      <w:hyperlink r:id="rId36" w:history="1">
        <w:r w:rsidR="00EE4D0B" w:rsidRPr="00C913DD">
          <w:rPr>
            <w:rStyle w:val="Hyperlink"/>
            <w:sz w:val="22"/>
            <w:szCs w:val="22"/>
          </w:rPr>
          <w:t>https://www.individualdeprivationmeasure.org/resources/planning-for-prevention-fiji/</w:t>
        </w:r>
      </w:hyperlink>
      <w:r w:rsidR="00EE4D0B" w:rsidRPr="00C913DD">
        <w:rPr>
          <w:rStyle w:val="Hyperlink"/>
          <w:color w:val="auto"/>
          <w:sz w:val="22"/>
          <w:szCs w:val="22"/>
          <w:u w:val="none"/>
        </w:rPr>
        <w:t xml:space="preserve"> </w:t>
      </w:r>
    </w:p>
    <w:p w14:paraId="4E07BA0C" w14:textId="2E4C08CA" w:rsidR="00737338" w:rsidRPr="00C913DD" w:rsidRDefault="00737338" w:rsidP="00737338">
      <w:pPr>
        <w:pStyle w:val="Bibliography"/>
        <w:rPr>
          <w:rFonts w:cs="Arial"/>
          <w:i/>
          <w:sz w:val="22"/>
          <w:szCs w:val="22"/>
        </w:rPr>
      </w:pPr>
      <w:r w:rsidRPr="00C913DD">
        <w:rPr>
          <w:rFonts w:cs="Arial"/>
          <w:sz w:val="22"/>
          <w:szCs w:val="22"/>
        </w:rPr>
        <w:t xml:space="preserve">IWDA. 2020. </w:t>
      </w:r>
      <w:r w:rsidRPr="00C913DD">
        <w:rPr>
          <w:rFonts w:cs="Arial"/>
          <w:i/>
          <w:sz w:val="22"/>
          <w:szCs w:val="22"/>
        </w:rPr>
        <w:t xml:space="preserve">Care in Crisis. </w:t>
      </w:r>
      <w:hyperlink r:id="rId37" w:history="1">
        <w:r w:rsidRPr="00C913DD">
          <w:rPr>
            <w:rStyle w:val="Hyperlink"/>
            <w:rFonts w:cs="Arial"/>
            <w:sz w:val="22"/>
            <w:szCs w:val="22"/>
          </w:rPr>
          <w:t>https://iwda.org.au/resource/factsheet-care-in-crisis/</w:t>
        </w:r>
      </w:hyperlink>
      <w:r w:rsidRPr="00C913DD">
        <w:rPr>
          <w:rFonts w:cs="Arial"/>
          <w:i/>
          <w:sz w:val="22"/>
          <w:szCs w:val="22"/>
        </w:rPr>
        <w:t xml:space="preserve"> </w:t>
      </w:r>
    </w:p>
    <w:p w14:paraId="35FA099F" w14:textId="6F6D24B8" w:rsidR="00645439" w:rsidRPr="00C913DD" w:rsidRDefault="00645439" w:rsidP="00EE4D0B">
      <w:pPr>
        <w:rPr>
          <w:sz w:val="22"/>
          <w:szCs w:val="22"/>
        </w:rPr>
      </w:pPr>
      <w:r w:rsidRPr="00C913DD">
        <w:rPr>
          <w:sz w:val="22"/>
          <w:szCs w:val="22"/>
        </w:rPr>
        <w:t xml:space="preserve">OECD. 2020. </w:t>
      </w:r>
      <w:r w:rsidRPr="00C913DD">
        <w:rPr>
          <w:i/>
          <w:sz w:val="22"/>
          <w:szCs w:val="22"/>
        </w:rPr>
        <w:t xml:space="preserve">Aid Focused on Gender Equality and Women’s Empowerment: A snapshot of current funding and trends over time in support of the implementation of the Beijing Declaration and Platform for Action. </w:t>
      </w:r>
      <w:hyperlink r:id="rId38" w:history="1">
        <w:r w:rsidR="00EE4D0B" w:rsidRPr="00C913DD">
          <w:rPr>
            <w:rStyle w:val="Hyperlink"/>
            <w:sz w:val="22"/>
            <w:szCs w:val="22"/>
          </w:rPr>
          <w:t>https://www.oecd.org/development/gender-development/Aid-Focussed-on-Gender-Equality-and-Women-s-Empowerment-2020.pdf</w:t>
        </w:r>
      </w:hyperlink>
      <w:r w:rsidR="00EE4D0B" w:rsidRPr="00C913DD">
        <w:rPr>
          <w:sz w:val="22"/>
          <w:szCs w:val="22"/>
        </w:rPr>
        <w:t xml:space="preserve"> </w:t>
      </w:r>
    </w:p>
    <w:p w14:paraId="22273312" w14:textId="32FDA377" w:rsidR="007D4BD7" w:rsidRPr="00C913DD" w:rsidRDefault="007D4BD7" w:rsidP="007D4BD7">
      <w:pPr>
        <w:rPr>
          <w:rStyle w:val="Hyperlink"/>
          <w:sz w:val="22"/>
          <w:szCs w:val="22"/>
        </w:rPr>
      </w:pPr>
      <w:r w:rsidRPr="00C913DD">
        <w:rPr>
          <w:sz w:val="22"/>
          <w:szCs w:val="22"/>
        </w:rPr>
        <w:t xml:space="preserve">Pacific Islands Forum. 2018. </w:t>
      </w:r>
      <w:proofErr w:type="spellStart"/>
      <w:r w:rsidRPr="00C913DD">
        <w:rPr>
          <w:i/>
          <w:sz w:val="22"/>
          <w:szCs w:val="22"/>
        </w:rPr>
        <w:t>Boe</w:t>
      </w:r>
      <w:proofErr w:type="spellEnd"/>
      <w:r w:rsidRPr="00C913DD">
        <w:rPr>
          <w:i/>
          <w:sz w:val="22"/>
          <w:szCs w:val="22"/>
        </w:rPr>
        <w:t xml:space="preserve"> Declaration on Regional Security. </w:t>
      </w:r>
      <w:r w:rsidRPr="00C913DD">
        <w:rPr>
          <w:sz w:val="22"/>
          <w:szCs w:val="22"/>
        </w:rPr>
        <w:t xml:space="preserve"> </w:t>
      </w:r>
      <w:hyperlink r:id="rId39" w:history="1">
        <w:r w:rsidRPr="00C913DD">
          <w:rPr>
            <w:rStyle w:val="Hyperlink"/>
            <w:sz w:val="22"/>
            <w:szCs w:val="22"/>
          </w:rPr>
          <w:t>https://www.forumsec.org/boe-declaration-on-regional-security/</w:t>
        </w:r>
      </w:hyperlink>
    </w:p>
    <w:p w14:paraId="3287C3AD" w14:textId="77777777" w:rsidR="00017027" w:rsidRPr="00C913DD" w:rsidRDefault="00017027" w:rsidP="00017027">
      <w:pPr>
        <w:pStyle w:val="Bibliography"/>
        <w:rPr>
          <w:rFonts w:cs="Arial"/>
          <w:sz w:val="22"/>
          <w:szCs w:val="22"/>
        </w:rPr>
      </w:pPr>
      <w:r w:rsidRPr="00C913DD">
        <w:rPr>
          <w:rFonts w:cs="Arial"/>
          <w:sz w:val="22"/>
          <w:szCs w:val="22"/>
        </w:rPr>
        <w:t xml:space="preserve">Stewart, Heather. 2017. </w:t>
      </w:r>
      <w:r w:rsidRPr="00C913DD">
        <w:rPr>
          <w:rFonts w:cs="Arial"/>
          <w:i/>
          <w:sz w:val="22"/>
          <w:szCs w:val="22"/>
        </w:rPr>
        <w:t>Women Bearing 86% of Austerity Burden, Commons Figures Reveal</w:t>
      </w:r>
      <w:r w:rsidRPr="00C913DD">
        <w:rPr>
          <w:rFonts w:cs="Arial"/>
          <w:sz w:val="22"/>
          <w:szCs w:val="22"/>
        </w:rPr>
        <w:t xml:space="preserve">” </w:t>
      </w:r>
      <w:r w:rsidRPr="00C913DD">
        <w:rPr>
          <w:rFonts w:cs="Arial"/>
          <w:iCs/>
          <w:sz w:val="22"/>
          <w:szCs w:val="22"/>
        </w:rPr>
        <w:t>The Guardian</w:t>
      </w:r>
      <w:r w:rsidRPr="00C913DD">
        <w:rPr>
          <w:rFonts w:cs="Arial"/>
          <w:sz w:val="22"/>
          <w:szCs w:val="22"/>
        </w:rPr>
        <w:t xml:space="preserve">, March 9, 2017. World news. </w:t>
      </w:r>
      <w:hyperlink r:id="rId40" w:history="1">
        <w:r w:rsidRPr="00C913DD">
          <w:rPr>
            <w:rStyle w:val="Hyperlink"/>
            <w:rFonts w:cs="Arial"/>
            <w:sz w:val="22"/>
            <w:szCs w:val="22"/>
          </w:rPr>
          <w:t>https://www.theguardian.com/world/2017/mar/09/women-bearing-86-of-austerity-burden-labour-research-reveals</w:t>
        </w:r>
      </w:hyperlink>
      <w:r w:rsidRPr="00C913DD">
        <w:rPr>
          <w:rFonts w:cs="Arial"/>
          <w:sz w:val="22"/>
          <w:szCs w:val="22"/>
        </w:rPr>
        <w:t xml:space="preserve"> </w:t>
      </w:r>
    </w:p>
    <w:p w14:paraId="36659C69" w14:textId="3E0EDCCE" w:rsidR="00003AF1" w:rsidRPr="00C913DD" w:rsidRDefault="00003AF1" w:rsidP="00003AF1">
      <w:pPr>
        <w:pStyle w:val="Bibliography"/>
        <w:rPr>
          <w:rFonts w:cs="Arial"/>
          <w:sz w:val="22"/>
          <w:szCs w:val="22"/>
        </w:rPr>
      </w:pPr>
      <w:r w:rsidRPr="00C913DD">
        <w:rPr>
          <w:rFonts w:cs="Arial"/>
          <w:sz w:val="22"/>
          <w:szCs w:val="22"/>
        </w:rPr>
        <w:t>UNDP. 2020</w:t>
      </w:r>
      <w:r w:rsidR="00737338" w:rsidRPr="00C913DD">
        <w:rPr>
          <w:rFonts w:cs="Arial"/>
          <w:sz w:val="22"/>
          <w:szCs w:val="22"/>
        </w:rPr>
        <w:t>a</w:t>
      </w:r>
      <w:r w:rsidRPr="00C913DD">
        <w:rPr>
          <w:rFonts w:cs="Arial"/>
          <w:sz w:val="22"/>
          <w:szCs w:val="22"/>
        </w:rPr>
        <w:t xml:space="preserve">. </w:t>
      </w:r>
      <w:r w:rsidRPr="00C913DD">
        <w:rPr>
          <w:rFonts w:cs="Arial"/>
          <w:i/>
          <w:sz w:val="22"/>
          <w:szCs w:val="22"/>
        </w:rPr>
        <w:t>COVID-19: Human Development on Course to Decline This Year for the First Time since 1990.</w:t>
      </w:r>
      <w:r w:rsidRPr="00C913DD">
        <w:rPr>
          <w:rFonts w:cs="Arial"/>
          <w:sz w:val="22"/>
          <w:szCs w:val="22"/>
        </w:rPr>
        <w:t xml:space="preserve"> </w:t>
      </w:r>
      <w:hyperlink r:id="rId41" w:history="1">
        <w:r w:rsidR="00FD2E98" w:rsidRPr="00C913DD">
          <w:rPr>
            <w:rStyle w:val="Hyperlink"/>
            <w:rFonts w:cs="Arial"/>
            <w:sz w:val="22"/>
            <w:szCs w:val="22"/>
          </w:rPr>
          <w:t>http://www.hdr.undp.org/en/content/covid-19-human-development-course-decline-year-first-time-1990</w:t>
        </w:r>
      </w:hyperlink>
      <w:r w:rsidR="00FD2E98" w:rsidRPr="00C913DD">
        <w:rPr>
          <w:rFonts w:cs="Arial"/>
          <w:sz w:val="22"/>
          <w:szCs w:val="22"/>
        </w:rPr>
        <w:t xml:space="preserve"> </w:t>
      </w:r>
    </w:p>
    <w:p w14:paraId="214DBB33" w14:textId="30EC4A3D" w:rsidR="00737338" w:rsidRPr="00C913DD" w:rsidRDefault="00737338" w:rsidP="00737338">
      <w:pPr>
        <w:pStyle w:val="Bibliography"/>
        <w:rPr>
          <w:rFonts w:cs="Arial"/>
          <w:sz w:val="22"/>
          <w:szCs w:val="22"/>
        </w:rPr>
      </w:pPr>
      <w:r w:rsidRPr="00C913DD">
        <w:rPr>
          <w:sz w:val="22"/>
          <w:szCs w:val="22"/>
        </w:rPr>
        <w:t xml:space="preserve">UNDP. 2020b. </w:t>
      </w:r>
      <w:r w:rsidRPr="00C913DD">
        <w:rPr>
          <w:rFonts w:cs="Arial"/>
          <w:i/>
          <w:sz w:val="22"/>
          <w:szCs w:val="22"/>
        </w:rPr>
        <w:t>Gender Based Violence and COVID-19</w:t>
      </w:r>
      <w:r w:rsidRPr="00C913DD">
        <w:rPr>
          <w:rFonts w:cs="Arial"/>
          <w:sz w:val="22"/>
          <w:szCs w:val="22"/>
        </w:rPr>
        <w:t xml:space="preserve">. </w:t>
      </w:r>
      <w:hyperlink r:id="rId42" w:history="1">
        <w:r w:rsidRPr="00C913DD">
          <w:rPr>
            <w:rStyle w:val="Hyperlink"/>
            <w:rFonts w:cs="Arial"/>
            <w:sz w:val="22"/>
            <w:szCs w:val="22"/>
          </w:rPr>
          <w:t>https://reliefweb.int/sites/reliefweb.int/files/resources/undp-gender-GBV_and_COVID-19.pdf</w:t>
        </w:r>
      </w:hyperlink>
      <w:r w:rsidRPr="00C913DD">
        <w:rPr>
          <w:rFonts w:cs="Arial"/>
          <w:sz w:val="22"/>
          <w:szCs w:val="22"/>
        </w:rPr>
        <w:t xml:space="preserve"> </w:t>
      </w:r>
    </w:p>
    <w:p w14:paraId="35678EEC" w14:textId="77777777" w:rsidR="00737338" w:rsidRPr="00C913DD" w:rsidRDefault="00737338" w:rsidP="00737338">
      <w:pPr>
        <w:pStyle w:val="Bibliography"/>
        <w:rPr>
          <w:rFonts w:cs="Arial"/>
          <w:sz w:val="22"/>
          <w:szCs w:val="22"/>
        </w:rPr>
      </w:pPr>
      <w:r w:rsidRPr="00C913DD">
        <w:rPr>
          <w:sz w:val="22"/>
          <w:szCs w:val="22"/>
        </w:rPr>
        <w:t xml:space="preserve">UNFPA. 2020. </w:t>
      </w:r>
      <w:r w:rsidRPr="00C913DD">
        <w:rPr>
          <w:rFonts w:cs="Arial"/>
          <w:i/>
          <w:sz w:val="22"/>
          <w:szCs w:val="22"/>
        </w:rPr>
        <w:t>Impact of the COVID-19 Pandemic on Family Planning and Ending Gender-Based Violence, Female Genital Mutilation and Child Marriage</w:t>
      </w:r>
      <w:r w:rsidRPr="00C913DD">
        <w:rPr>
          <w:rFonts w:cs="Arial"/>
          <w:sz w:val="22"/>
          <w:szCs w:val="22"/>
        </w:rPr>
        <w:t xml:space="preserve">. </w:t>
      </w:r>
      <w:hyperlink r:id="rId43" w:history="1">
        <w:r w:rsidRPr="00C913DD">
          <w:rPr>
            <w:rStyle w:val="Hyperlink"/>
            <w:rFonts w:cs="Arial"/>
            <w:sz w:val="22"/>
            <w:szCs w:val="22"/>
          </w:rPr>
          <w:t>https://www.unfpa.org/sites/default/files/resource-pdf/COVID-19_impact_brief_for_UNFPA_24_April_2020_1.pdf</w:t>
        </w:r>
      </w:hyperlink>
      <w:r w:rsidRPr="00C913DD">
        <w:rPr>
          <w:rFonts w:cs="Arial"/>
          <w:sz w:val="22"/>
          <w:szCs w:val="22"/>
        </w:rPr>
        <w:t xml:space="preserve"> </w:t>
      </w:r>
    </w:p>
    <w:p w14:paraId="5EA5EE2C" w14:textId="77777777" w:rsidR="00737338" w:rsidRPr="00C913DD" w:rsidRDefault="00737338" w:rsidP="00737338">
      <w:pPr>
        <w:rPr>
          <w:sz w:val="22"/>
          <w:szCs w:val="22"/>
        </w:rPr>
      </w:pPr>
      <w:r w:rsidRPr="00C913DD">
        <w:rPr>
          <w:sz w:val="22"/>
          <w:szCs w:val="22"/>
        </w:rPr>
        <w:t xml:space="preserve">UN Women, 2015, Global Study on the Implementation of United Nations Security Council resolution 1325, </w:t>
      </w:r>
      <w:hyperlink r:id="rId44" w:history="1">
        <w:r w:rsidRPr="00C913DD">
          <w:rPr>
            <w:rStyle w:val="Hyperlink"/>
            <w:sz w:val="22"/>
            <w:szCs w:val="22"/>
          </w:rPr>
          <w:t>https://wps.unwomen.org/pdf/en/GlobalStudy_EN_Web.pdf</w:t>
        </w:r>
      </w:hyperlink>
    </w:p>
    <w:p w14:paraId="3605D02D" w14:textId="3051619A" w:rsidR="00FD2E98" w:rsidRPr="00C913DD" w:rsidRDefault="00FD2E98" w:rsidP="00FD2E98">
      <w:pPr>
        <w:pStyle w:val="Bibliography"/>
        <w:rPr>
          <w:rFonts w:cs="Arial"/>
          <w:sz w:val="22"/>
          <w:szCs w:val="22"/>
        </w:rPr>
      </w:pPr>
      <w:r w:rsidRPr="00C913DD">
        <w:rPr>
          <w:rFonts w:cs="Arial"/>
          <w:sz w:val="22"/>
          <w:szCs w:val="22"/>
        </w:rPr>
        <w:lastRenderedPageBreak/>
        <w:t xml:space="preserve">UN Women Regional Office for Asia and the Pacific. 2020. </w:t>
      </w:r>
      <w:r w:rsidRPr="00C913DD">
        <w:rPr>
          <w:rFonts w:cs="Arial"/>
          <w:i/>
          <w:sz w:val="22"/>
          <w:szCs w:val="22"/>
        </w:rPr>
        <w:t xml:space="preserve">The First 100 Days of COVID-19 in Asia and the Pacific: A Gender Lens. </w:t>
      </w:r>
      <w:r w:rsidRPr="00C913DD">
        <w:rPr>
          <w:rFonts w:cs="Arial"/>
          <w:sz w:val="22"/>
          <w:szCs w:val="22"/>
        </w:rPr>
        <w:t xml:space="preserve">Pp 7. </w:t>
      </w:r>
      <w:hyperlink r:id="rId45" w:history="1">
        <w:r w:rsidRPr="00C913DD">
          <w:rPr>
            <w:rStyle w:val="Hyperlink"/>
            <w:rFonts w:cs="Arial"/>
            <w:sz w:val="22"/>
            <w:szCs w:val="22"/>
          </w:rPr>
          <w:t>https://www2.unwomen.org/-/media/field%20office%20eseasia/docs/publications/2020/04/ap_first_100-days_covid-19-r02.pdf?la=en&amp;vs=3400</w:t>
        </w:r>
      </w:hyperlink>
      <w:r w:rsidRPr="00C913DD">
        <w:rPr>
          <w:rFonts w:cs="Arial"/>
          <w:sz w:val="22"/>
          <w:szCs w:val="22"/>
        </w:rPr>
        <w:t xml:space="preserve"> </w:t>
      </w:r>
    </w:p>
    <w:p w14:paraId="293BDD56" w14:textId="0E79739D" w:rsidR="00017027" w:rsidRPr="00C913DD" w:rsidRDefault="00017027" w:rsidP="00017027">
      <w:pPr>
        <w:pStyle w:val="Bibliography"/>
        <w:rPr>
          <w:rFonts w:cs="Arial"/>
          <w:sz w:val="22"/>
          <w:szCs w:val="22"/>
        </w:rPr>
      </w:pPr>
      <w:r w:rsidRPr="00C913DD">
        <w:rPr>
          <w:rFonts w:cs="Arial"/>
          <w:sz w:val="22"/>
          <w:szCs w:val="22"/>
        </w:rPr>
        <w:t xml:space="preserve">Women’s Working Group on Financing for Development. 2015. </w:t>
      </w:r>
      <w:r w:rsidRPr="00C913DD">
        <w:rPr>
          <w:rFonts w:cs="Arial"/>
          <w:i/>
          <w:sz w:val="22"/>
          <w:szCs w:val="22"/>
        </w:rPr>
        <w:t>Reaction to the Outcome Document of the Third International Conference on Financing for Development: Addis Ababa Action Agenda.</w:t>
      </w:r>
      <w:r w:rsidRPr="00C913DD">
        <w:rPr>
          <w:rFonts w:cs="Arial"/>
          <w:sz w:val="22"/>
          <w:szCs w:val="22"/>
        </w:rPr>
        <w:t xml:space="preserve"> </w:t>
      </w:r>
      <w:hyperlink r:id="rId46" w:history="1">
        <w:r w:rsidRPr="00C913DD">
          <w:rPr>
            <w:rStyle w:val="Hyperlink"/>
            <w:rFonts w:cs="Arial"/>
            <w:sz w:val="22"/>
            <w:szCs w:val="22"/>
          </w:rPr>
          <w:t>https://wwgonffd.files.wordpress.com/2015/07/women-working-group-reaction-to-addis-ababa-action-agenda-17-july-20151.pdf</w:t>
        </w:r>
      </w:hyperlink>
      <w:r w:rsidRPr="00C913DD">
        <w:rPr>
          <w:rFonts w:cs="Arial"/>
          <w:sz w:val="22"/>
          <w:szCs w:val="22"/>
        </w:rPr>
        <w:t xml:space="preserve"> </w:t>
      </w:r>
    </w:p>
    <w:p w14:paraId="2A9D3A53" w14:textId="77777777" w:rsidR="00737338" w:rsidRPr="00017027" w:rsidRDefault="00737338">
      <w:pPr>
        <w:rPr>
          <w:sz w:val="20"/>
          <w:szCs w:val="20"/>
        </w:rPr>
      </w:pPr>
    </w:p>
    <w:sectPr w:rsidR="00737338" w:rsidRPr="00017027" w:rsidSect="008E6403">
      <w:footerReference w:type="default" r:id="rId47"/>
      <w:headerReference w:type="first" r:id="rId48"/>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B2EE2" w14:textId="77777777" w:rsidR="00A5075E" w:rsidRDefault="00A5075E" w:rsidP="00855982">
      <w:pPr>
        <w:spacing w:after="0" w:line="240" w:lineRule="auto"/>
      </w:pPr>
      <w:r>
        <w:separator/>
      </w:r>
    </w:p>
  </w:endnote>
  <w:endnote w:type="continuationSeparator" w:id="0">
    <w:p w14:paraId="4D4321A0" w14:textId="77777777" w:rsidR="00A5075E" w:rsidRDefault="00A5075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06DFFC21" w:rsidR="00855982" w:rsidRDefault="00855982">
        <w:pPr>
          <w:pStyle w:val="Footer"/>
        </w:pPr>
        <w:r>
          <w:fldChar w:fldCharType="begin"/>
        </w:r>
        <w:r>
          <w:instrText xml:space="preserve"> PAGE   \* MERGEFORMAT </w:instrText>
        </w:r>
        <w:r>
          <w:fldChar w:fldCharType="separate"/>
        </w:r>
        <w:r w:rsidR="00F417D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44F6B" w14:textId="77777777" w:rsidR="00A5075E" w:rsidRDefault="00A5075E" w:rsidP="00855982">
      <w:pPr>
        <w:spacing w:after="0" w:line="240" w:lineRule="auto"/>
      </w:pPr>
      <w:r>
        <w:separator/>
      </w:r>
    </w:p>
  </w:footnote>
  <w:footnote w:type="continuationSeparator" w:id="0">
    <w:p w14:paraId="181C4017" w14:textId="77777777" w:rsidR="00A5075E" w:rsidRDefault="00A5075E"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6B1980" w:rsidRDefault="006B1980" w:rsidP="006B1980">
    <w:pPr>
      <w:pStyle w:val="Header"/>
      <w:jc w:val="center"/>
    </w:pPr>
    <w:r w:rsidRPr="00AA56E0">
      <w:rPr>
        <w:noProof/>
        <w:lang w:val="en-AU" w:eastAsia="en-AU"/>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5F7"/>
    <w:multiLevelType w:val="hybridMultilevel"/>
    <w:tmpl w:val="34642D56"/>
    <w:lvl w:ilvl="0" w:tplc="88C2FC8C">
      <w:start w:val="1"/>
      <w:numFmt w:val="bullet"/>
      <w:lvlText w:val="•"/>
      <w:lvlJc w:val="left"/>
      <w:pPr>
        <w:tabs>
          <w:tab w:val="num" w:pos="720"/>
        </w:tabs>
        <w:ind w:left="720" w:hanging="360"/>
      </w:pPr>
      <w:rPr>
        <w:rFonts w:ascii="Arial" w:hAnsi="Arial" w:hint="default"/>
      </w:rPr>
    </w:lvl>
    <w:lvl w:ilvl="1" w:tplc="150E0768" w:tentative="1">
      <w:start w:val="1"/>
      <w:numFmt w:val="bullet"/>
      <w:lvlText w:val="•"/>
      <w:lvlJc w:val="left"/>
      <w:pPr>
        <w:tabs>
          <w:tab w:val="num" w:pos="1440"/>
        </w:tabs>
        <w:ind w:left="1440" w:hanging="360"/>
      </w:pPr>
      <w:rPr>
        <w:rFonts w:ascii="Arial" w:hAnsi="Arial" w:hint="default"/>
      </w:rPr>
    </w:lvl>
    <w:lvl w:ilvl="2" w:tplc="8828DD8E" w:tentative="1">
      <w:start w:val="1"/>
      <w:numFmt w:val="bullet"/>
      <w:lvlText w:val="•"/>
      <w:lvlJc w:val="left"/>
      <w:pPr>
        <w:tabs>
          <w:tab w:val="num" w:pos="2160"/>
        </w:tabs>
        <w:ind w:left="2160" w:hanging="360"/>
      </w:pPr>
      <w:rPr>
        <w:rFonts w:ascii="Arial" w:hAnsi="Arial" w:hint="default"/>
      </w:rPr>
    </w:lvl>
    <w:lvl w:ilvl="3" w:tplc="0DA4BBE0" w:tentative="1">
      <w:start w:val="1"/>
      <w:numFmt w:val="bullet"/>
      <w:lvlText w:val="•"/>
      <w:lvlJc w:val="left"/>
      <w:pPr>
        <w:tabs>
          <w:tab w:val="num" w:pos="2880"/>
        </w:tabs>
        <w:ind w:left="2880" w:hanging="360"/>
      </w:pPr>
      <w:rPr>
        <w:rFonts w:ascii="Arial" w:hAnsi="Arial" w:hint="default"/>
      </w:rPr>
    </w:lvl>
    <w:lvl w:ilvl="4" w:tplc="136EE68C" w:tentative="1">
      <w:start w:val="1"/>
      <w:numFmt w:val="bullet"/>
      <w:lvlText w:val="•"/>
      <w:lvlJc w:val="left"/>
      <w:pPr>
        <w:tabs>
          <w:tab w:val="num" w:pos="3600"/>
        </w:tabs>
        <w:ind w:left="3600" w:hanging="360"/>
      </w:pPr>
      <w:rPr>
        <w:rFonts w:ascii="Arial" w:hAnsi="Arial" w:hint="default"/>
      </w:rPr>
    </w:lvl>
    <w:lvl w:ilvl="5" w:tplc="138AF48C" w:tentative="1">
      <w:start w:val="1"/>
      <w:numFmt w:val="bullet"/>
      <w:lvlText w:val="•"/>
      <w:lvlJc w:val="left"/>
      <w:pPr>
        <w:tabs>
          <w:tab w:val="num" w:pos="4320"/>
        </w:tabs>
        <w:ind w:left="4320" w:hanging="360"/>
      </w:pPr>
      <w:rPr>
        <w:rFonts w:ascii="Arial" w:hAnsi="Arial" w:hint="default"/>
      </w:rPr>
    </w:lvl>
    <w:lvl w:ilvl="6" w:tplc="69429C2C" w:tentative="1">
      <w:start w:val="1"/>
      <w:numFmt w:val="bullet"/>
      <w:lvlText w:val="•"/>
      <w:lvlJc w:val="left"/>
      <w:pPr>
        <w:tabs>
          <w:tab w:val="num" w:pos="5040"/>
        </w:tabs>
        <w:ind w:left="5040" w:hanging="360"/>
      </w:pPr>
      <w:rPr>
        <w:rFonts w:ascii="Arial" w:hAnsi="Arial" w:hint="default"/>
      </w:rPr>
    </w:lvl>
    <w:lvl w:ilvl="7" w:tplc="DDE63C42" w:tentative="1">
      <w:start w:val="1"/>
      <w:numFmt w:val="bullet"/>
      <w:lvlText w:val="•"/>
      <w:lvlJc w:val="left"/>
      <w:pPr>
        <w:tabs>
          <w:tab w:val="num" w:pos="5760"/>
        </w:tabs>
        <w:ind w:left="5760" w:hanging="360"/>
      </w:pPr>
      <w:rPr>
        <w:rFonts w:ascii="Arial" w:hAnsi="Arial" w:hint="default"/>
      </w:rPr>
    </w:lvl>
    <w:lvl w:ilvl="8" w:tplc="27BE00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EA6EC7"/>
    <w:multiLevelType w:val="hybridMultilevel"/>
    <w:tmpl w:val="C412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5A29BA"/>
    <w:multiLevelType w:val="hybridMultilevel"/>
    <w:tmpl w:val="D90E8926"/>
    <w:lvl w:ilvl="0" w:tplc="FBC674DE">
      <w:start w:val="1"/>
      <w:numFmt w:val="bullet"/>
      <w:lvlText w:val="•"/>
      <w:lvlJc w:val="left"/>
      <w:pPr>
        <w:tabs>
          <w:tab w:val="num" w:pos="720"/>
        </w:tabs>
        <w:ind w:left="720" w:hanging="360"/>
      </w:pPr>
      <w:rPr>
        <w:rFonts w:ascii="Arial" w:hAnsi="Arial" w:hint="default"/>
      </w:rPr>
    </w:lvl>
    <w:lvl w:ilvl="1" w:tplc="0D8CFD46" w:tentative="1">
      <w:start w:val="1"/>
      <w:numFmt w:val="bullet"/>
      <w:lvlText w:val="•"/>
      <w:lvlJc w:val="left"/>
      <w:pPr>
        <w:tabs>
          <w:tab w:val="num" w:pos="1440"/>
        </w:tabs>
        <w:ind w:left="1440" w:hanging="360"/>
      </w:pPr>
      <w:rPr>
        <w:rFonts w:ascii="Arial" w:hAnsi="Arial" w:hint="default"/>
      </w:rPr>
    </w:lvl>
    <w:lvl w:ilvl="2" w:tplc="1842E8A2" w:tentative="1">
      <w:start w:val="1"/>
      <w:numFmt w:val="bullet"/>
      <w:lvlText w:val="•"/>
      <w:lvlJc w:val="left"/>
      <w:pPr>
        <w:tabs>
          <w:tab w:val="num" w:pos="2160"/>
        </w:tabs>
        <w:ind w:left="2160" w:hanging="360"/>
      </w:pPr>
      <w:rPr>
        <w:rFonts w:ascii="Arial" w:hAnsi="Arial" w:hint="default"/>
      </w:rPr>
    </w:lvl>
    <w:lvl w:ilvl="3" w:tplc="4C941BBE" w:tentative="1">
      <w:start w:val="1"/>
      <w:numFmt w:val="bullet"/>
      <w:lvlText w:val="•"/>
      <w:lvlJc w:val="left"/>
      <w:pPr>
        <w:tabs>
          <w:tab w:val="num" w:pos="2880"/>
        </w:tabs>
        <w:ind w:left="2880" w:hanging="360"/>
      </w:pPr>
      <w:rPr>
        <w:rFonts w:ascii="Arial" w:hAnsi="Arial" w:hint="default"/>
      </w:rPr>
    </w:lvl>
    <w:lvl w:ilvl="4" w:tplc="D122800C" w:tentative="1">
      <w:start w:val="1"/>
      <w:numFmt w:val="bullet"/>
      <w:lvlText w:val="•"/>
      <w:lvlJc w:val="left"/>
      <w:pPr>
        <w:tabs>
          <w:tab w:val="num" w:pos="3600"/>
        </w:tabs>
        <w:ind w:left="3600" w:hanging="360"/>
      </w:pPr>
      <w:rPr>
        <w:rFonts w:ascii="Arial" w:hAnsi="Arial" w:hint="default"/>
      </w:rPr>
    </w:lvl>
    <w:lvl w:ilvl="5" w:tplc="F51CB96C" w:tentative="1">
      <w:start w:val="1"/>
      <w:numFmt w:val="bullet"/>
      <w:lvlText w:val="•"/>
      <w:lvlJc w:val="left"/>
      <w:pPr>
        <w:tabs>
          <w:tab w:val="num" w:pos="4320"/>
        </w:tabs>
        <w:ind w:left="4320" w:hanging="360"/>
      </w:pPr>
      <w:rPr>
        <w:rFonts w:ascii="Arial" w:hAnsi="Arial" w:hint="default"/>
      </w:rPr>
    </w:lvl>
    <w:lvl w:ilvl="6" w:tplc="1D06DA00" w:tentative="1">
      <w:start w:val="1"/>
      <w:numFmt w:val="bullet"/>
      <w:lvlText w:val="•"/>
      <w:lvlJc w:val="left"/>
      <w:pPr>
        <w:tabs>
          <w:tab w:val="num" w:pos="5040"/>
        </w:tabs>
        <w:ind w:left="5040" w:hanging="360"/>
      </w:pPr>
      <w:rPr>
        <w:rFonts w:ascii="Arial" w:hAnsi="Arial" w:hint="default"/>
      </w:rPr>
    </w:lvl>
    <w:lvl w:ilvl="7" w:tplc="D96C9442" w:tentative="1">
      <w:start w:val="1"/>
      <w:numFmt w:val="bullet"/>
      <w:lvlText w:val="•"/>
      <w:lvlJc w:val="left"/>
      <w:pPr>
        <w:tabs>
          <w:tab w:val="num" w:pos="5760"/>
        </w:tabs>
        <w:ind w:left="5760" w:hanging="360"/>
      </w:pPr>
      <w:rPr>
        <w:rFonts w:ascii="Arial" w:hAnsi="Arial" w:hint="default"/>
      </w:rPr>
    </w:lvl>
    <w:lvl w:ilvl="8" w:tplc="4022D7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9" w15:restartNumberingAfterBreak="0">
    <w:nsid w:val="3248377B"/>
    <w:multiLevelType w:val="hybridMultilevel"/>
    <w:tmpl w:val="3ED85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3"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2"/>
  </w:num>
  <w:num w:numId="4">
    <w:abstractNumId w:val="5"/>
  </w:num>
  <w:num w:numId="5">
    <w:abstractNumId w:val="21"/>
  </w:num>
  <w:num w:numId="6">
    <w:abstractNumId w:val="16"/>
  </w:num>
  <w:num w:numId="7">
    <w:abstractNumId w:val="13"/>
  </w:num>
  <w:num w:numId="8">
    <w:abstractNumId w:val="24"/>
  </w:num>
  <w:num w:numId="9">
    <w:abstractNumId w:val="18"/>
  </w:num>
  <w:num w:numId="10">
    <w:abstractNumId w:val="19"/>
  </w:num>
  <w:num w:numId="11">
    <w:abstractNumId w:val="11"/>
  </w:num>
  <w:num w:numId="12">
    <w:abstractNumId w:val="20"/>
  </w:num>
  <w:num w:numId="13">
    <w:abstractNumId w:val="6"/>
  </w:num>
  <w:num w:numId="14">
    <w:abstractNumId w:val="7"/>
  </w:num>
  <w:num w:numId="15">
    <w:abstractNumId w:val="14"/>
  </w:num>
  <w:num w:numId="16">
    <w:abstractNumId w:val="12"/>
  </w:num>
  <w:num w:numId="17">
    <w:abstractNumId w:val="8"/>
  </w:num>
  <w:num w:numId="18">
    <w:abstractNumId w:val="3"/>
  </w:num>
  <w:num w:numId="19">
    <w:abstractNumId w:val="2"/>
  </w:num>
  <w:num w:numId="20">
    <w:abstractNumId w:val="23"/>
  </w:num>
  <w:num w:numId="21">
    <w:abstractNumId w:val="15"/>
  </w:num>
  <w:num w:numId="22">
    <w:abstractNumId w:val="10"/>
  </w:num>
  <w:num w:numId="23">
    <w:abstractNumId w:val="0"/>
  </w:num>
  <w:num w:numId="24">
    <w:abstractNumId w:val="4"/>
  </w:num>
  <w:num w:numId="25">
    <w:abstractNumId w:val="1"/>
  </w:num>
  <w:num w:numId="2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3AF1"/>
    <w:rsid w:val="0000532A"/>
    <w:rsid w:val="000159C0"/>
    <w:rsid w:val="00017027"/>
    <w:rsid w:val="00021052"/>
    <w:rsid w:val="0002326F"/>
    <w:rsid w:val="000235F4"/>
    <w:rsid w:val="0002534D"/>
    <w:rsid w:val="00027E4C"/>
    <w:rsid w:val="00031306"/>
    <w:rsid w:val="00032E51"/>
    <w:rsid w:val="00033A96"/>
    <w:rsid w:val="00034992"/>
    <w:rsid w:val="0004113C"/>
    <w:rsid w:val="00047280"/>
    <w:rsid w:val="000546D0"/>
    <w:rsid w:val="00080FB5"/>
    <w:rsid w:val="0008464C"/>
    <w:rsid w:val="00084B29"/>
    <w:rsid w:val="00093D1C"/>
    <w:rsid w:val="000949CE"/>
    <w:rsid w:val="00095C01"/>
    <w:rsid w:val="000A2E1D"/>
    <w:rsid w:val="000B1A5B"/>
    <w:rsid w:val="000C01B6"/>
    <w:rsid w:val="000C302D"/>
    <w:rsid w:val="000C4760"/>
    <w:rsid w:val="000D671D"/>
    <w:rsid w:val="000E7D5D"/>
    <w:rsid w:val="000F581F"/>
    <w:rsid w:val="00103472"/>
    <w:rsid w:val="00104493"/>
    <w:rsid w:val="001242DB"/>
    <w:rsid w:val="00144281"/>
    <w:rsid w:val="0014457A"/>
    <w:rsid w:val="00146D67"/>
    <w:rsid w:val="001510DE"/>
    <w:rsid w:val="00160BD4"/>
    <w:rsid w:val="001614E3"/>
    <w:rsid w:val="0016388B"/>
    <w:rsid w:val="0016484A"/>
    <w:rsid w:val="00170232"/>
    <w:rsid w:val="00174159"/>
    <w:rsid w:val="00174276"/>
    <w:rsid w:val="001767EC"/>
    <w:rsid w:val="00190052"/>
    <w:rsid w:val="001922CE"/>
    <w:rsid w:val="001A1D8D"/>
    <w:rsid w:val="001B055F"/>
    <w:rsid w:val="001C0601"/>
    <w:rsid w:val="001C582E"/>
    <w:rsid w:val="001D2A7F"/>
    <w:rsid w:val="001D4362"/>
    <w:rsid w:val="001D5618"/>
    <w:rsid w:val="001E4558"/>
    <w:rsid w:val="001E67AF"/>
    <w:rsid w:val="001E6C0E"/>
    <w:rsid w:val="00203F15"/>
    <w:rsid w:val="002126C9"/>
    <w:rsid w:val="00217A8D"/>
    <w:rsid w:val="002206D5"/>
    <w:rsid w:val="00221AF4"/>
    <w:rsid w:val="00226686"/>
    <w:rsid w:val="002325C2"/>
    <w:rsid w:val="00233765"/>
    <w:rsid w:val="002351F3"/>
    <w:rsid w:val="00236573"/>
    <w:rsid w:val="00247B0A"/>
    <w:rsid w:val="002500F8"/>
    <w:rsid w:val="00252B26"/>
    <w:rsid w:val="002559DD"/>
    <w:rsid w:val="00265B06"/>
    <w:rsid w:val="002672B6"/>
    <w:rsid w:val="0026787E"/>
    <w:rsid w:val="0027381D"/>
    <w:rsid w:val="00280EF7"/>
    <w:rsid w:val="00282911"/>
    <w:rsid w:val="00282B0D"/>
    <w:rsid w:val="002939B6"/>
    <w:rsid w:val="00297C09"/>
    <w:rsid w:val="002B4FBD"/>
    <w:rsid w:val="002B79E9"/>
    <w:rsid w:val="002C6970"/>
    <w:rsid w:val="002D1DFD"/>
    <w:rsid w:val="00305379"/>
    <w:rsid w:val="00311878"/>
    <w:rsid w:val="00326332"/>
    <w:rsid w:val="00336CD9"/>
    <w:rsid w:val="0033716C"/>
    <w:rsid w:val="00343241"/>
    <w:rsid w:val="003457B8"/>
    <w:rsid w:val="0034769C"/>
    <w:rsid w:val="003519F6"/>
    <w:rsid w:val="00354FB2"/>
    <w:rsid w:val="0036219E"/>
    <w:rsid w:val="00363CB3"/>
    <w:rsid w:val="003661F5"/>
    <w:rsid w:val="00370F9B"/>
    <w:rsid w:val="003723E8"/>
    <w:rsid w:val="003844CF"/>
    <w:rsid w:val="00392CED"/>
    <w:rsid w:val="00395B49"/>
    <w:rsid w:val="003A0718"/>
    <w:rsid w:val="003A3530"/>
    <w:rsid w:val="003A3D4B"/>
    <w:rsid w:val="003B02EC"/>
    <w:rsid w:val="003B47AE"/>
    <w:rsid w:val="003B5256"/>
    <w:rsid w:val="003B5C46"/>
    <w:rsid w:val="003C1721"/>
    <w:rsid w:val="003C635B"/>
    <w:rsid w:val="003C6BB3"/>
    <w:rsid w:val="003D59C7"/>
    <w:rsid w:val="003E4DD9"/>
    <w:rsid w:val="00407970"/>
    <w:rsid w:val="00416E27"/>
    <w:rsid w:val="00423F66"/>
    <w:rsid w:val="00426168"/>
    <w:rsid w:val="004312B3"/>
    <w:rsid w:val="004434B0"/>
    <w:rsid w:val="00444743"/>
    <w:rsid w:val="00447CDB"/>
    <w:rsid w:val="0045338D"/>
    <w:rsid w:val="0046002F"/>
    <w:rsid w:val="0046745E"/>
    <w:rsid w:val="004728E3"/>
    <w:rsid w:val="004740F5"/>
    <w:rsid w:val="0048145A"/>
    <w:rsid w:val="004818B8"/>
    <w:rsid w:val="00490AD9"/>
    <w:rsid w:val="00492049"/>
    <w:rsid w:val="00492CDD"/>
    <w:rsid w:val="00495C0A"/>
    <w:rsid w:val="004B1386"/>
    <w:rsid w:val="004B25FC"/>
    <w:rsid w:val="004B31A2"/>
    <w:rsid w:val="004E4D37"/>
    <w:rsid w:val="004E67B6"/>
    <w:rsid w:val="00501BD6"/>
    <w:rsid w:val="00504D76"/>
    <w:rsid w:val="00506E6E"/>
    <w:rsid w:val="005156F4"/>
    <w:rsid w:val="00524481"/>
    <w:rsid w:val="005303E8"/>
    <w:rsid w:val="0053622A"/>
    <w:rsid w:val="0054264B"/>
    <w:rsid w:val="0054474E"/>
    <w:rsid w:val="0056193F"/>
    <w:rsid w:val="00574165"/>
    <w:rsid w:val="00574733"/>
    <w:rsid w:val="00575029"/>
    <w:rsid w:val="00593089"/>
    <w:rsid w:val="005B0A41"/>
    <w:rsid w:val="005B4639"/>
    <w:rsid w:val="005B6E1D"/>
    <w:rsid w:val="005C3032"/>
    <w:rsid w:val="005C594B"/>
    <w:rsid w:val="005D7A25"/>
    <w:rsid w:val="005E3B16"/>
    <w:rsid w:val="005F1F1A"/>
    <w:rsid w:val="006132C9"/>
    <w:rsid w:val="00616631"/>
    <w:rsid w:val="00617028"/>
    <w:rsid w:val="0062240D"/>
    <w:rsid w:val="00635245"/>
    <w:rsid w:val="00645439"/>
    <w:rsid w:val="00646A9E"/>
    <w:rsid w:val="00650141"/>
    <w:rsid w:val="00655072"/>
    <w:rsid w:val="0066640E"/>
    <w:rsid w:val="00671CDB"/>
    <w:rsid w:val="00672DA7"/>
    <w:rsid w:val="00677971"/>
    <w:rsid w:val="00682A71"/>
    <w:rsid w:val="00682E29"/>
    <w:rsid w:val="00690CB6"/>
    <w:rsid w:val="0069294B"/>
    <w:rsid w:val="00693937"/>
    <w:rsid w:val="006A382D"/>
    <w:rsid w:val="006B116A"/>
    <w:rsid w:val="006B1980"/>
    <w:rsid w:val="006B303B"/>
    <w:rsid w:val="006B403F"/>
    <w:rsid w:val="006B6A5F"/>
    <w:rsid w:val="006B72E4"/>
    <w:rsid w:val="006D3387"/>
    <w:rsid w:val="006E1234"/>
    <w:rsid w:val="006E1623"/>
    <w:rsid w:val="006E4190"/>
    <w:rsid w:val="006E7F3A"/>
    <w:rsid w:val="006F0623"/>
    <w:rsid w:val="006F42C3"/>
    <w:rsid w:val="00700E4D"/>
    <w:rsid w:val="0070134D"/>
    <w:rsid w:val="007047A5"/>
    <w:rsid w:val="00706D7D"/>
    <w:rsid w:val="007336CC"/>
    <w:rsid w:val="00737338"/>
    <w:rsid w:val="00742C60"/>
    <w:rsid w:val="0075055B"/>
    <w:rsid w:val="00775D3E"/>
    <w:rsid w:val="007766C0"/>
    <w:rsid w:val="00777692"/>
    <w:rsid w:val="00777F95"/>
    <w:rsid w:val="007833A7"/>
    <w:rsid w:val="00784AA0"/>
    <w:rsid w:val="00792081"/>
    <w:rsid w:val="007957F1"/>
    <w:rsid w:val="007A2A66"/>
    <w:rsid w:val="007B7B87"/>
    <w:rsid w:val="007C7A88"/>
    <w:rsid w:val="007D1493"/>
    <w:rsid w:val="007D4BD7"/>
    <w:rsid w:val="007E24D4"/>
    <w:rsid w:val="007E39C8"/>
    <w:rsid w:val="007F4587"/>
    <w:rsid w:val="007F61E8"/>
    <w:rsid w:val="007F7DFA"/>
    <w:rsid w:val="00805265"/>
    <w:rsid w:val="00805B56"/>
    <w:rsid w:val="0080683E"/>
    <w:rsid w:val="00817634"/>
    <w:rsid w:val="00820223"/>
    <w:rsid w:val="0082604B"/>
    <w:rsid w:val="00827578"/>
    <w:rsid w:val="0085031F"/>
    <w:rsid w:val="00855982"/>
    <w:rsid w:val="008625DF"/>
    <w:rsid w:val="00862832"/>
    <w:rsid w:val="008714DD"/>
    <w:rsid w:val="008725FD"/>
    <w:rsid w:val="00875CA1"/>
    <w:rsid w:val="008813D6"/>
    <w:rsid w:val="00885250"/>
    <w:rsid w:val="0089404B"/>
    <w:rsid w:val="008A2277"/>
    <w:rsid w:val="008A4B36"/>
    <w:rsid w:val="008A57E3"/>
    <w:rsid w:val="008B48A0"/>
    <w:rsid w:val="008D032C"/>
    <w:rsid w:val="008E06A4"/>
    <w:rsid w:val="008E6403"/>
    <w:rsid w:val="008E7C37"/>
    <w:rsid w:val="008F5780"/>
    <w:rsid w:val="0090478A"/>
    <w:rsid w:val="00904CC5"/>
    <w:rsid w:val="009132B8"/>
    <w:rsid w:val="00916375"/>
    <w:rsid w:val="00916A5D"/>
    <w:rsid w:val="00917926"/>
    <w:rsid w:val="00917DFD"/>
    <w:rsid w:val="0092104D"/>
    <w:rsid w:val="00941FBD"/>
    <w:rsid w:val="00942A24"/>
    <w:rsid w:val="00945C0B"/>
    <w:rsid w:val="00952796"/>
    <w:rsid w:val="00957067"/>
    <w:rsid w:val="00957990"/>
    <w:rsid w:val="00974F1E"/>
    <w:rsid w:val="009829B4"/>
    <w:rsid w:val="0098396D"/>
    <w:rsid w:val="009854A6"/>
    <w:rsid w:val="00994683"/>
    <w:rsid w:val="009974BD"/>
    <w:rsid w:val="009A1921"/>
    <w:rsid w:val="009B4258"/>
    <w:rsid w:val="009B71FF"/>
    <w:rsid w:val="009B7A27"/>
    <w:rsid w:val="009C0EC7"/>
    <w:rsid w:val="009C2E59"/>
    <w:rsid w:val="009D12EC"/>
    <w:rsid w:val="009D6A3E"/>
    <w:rsid w:val="009E214C"/>
    <w:rsid w:val="009E5B10"/>
    <w:rsid w:val="009E7893"/>
    <w:rsid w:val="009F0086"/>
    <w:rsid w:val="00A10484"/>
    <w:rsid w:val="00A108CF"/>
    <w:rsid w:val="00A17A5A"/>
    <w:rsid w:val="00A423CB"/>
    <w:rsid w:val="00A441AF"/>
    <w:rsid w:val="00A45646"/>
    <w:rsid w:val="00A5075E"/>
    <w:rsid w:val="00A56302"/>
    <w:rsid w:val="00A60CB4"/>
    <w:rsid w:val="00A67B8A"/>
    <w:rsid w:val="00A7036E"/>
    <w:rsid w:val="00A70E10"/>
    <w:rsid w:val="00A70F3D"/>
    <w:rsid w:val="00A7308F"/>
    <w:rsid w:val="00A807BE"/>
    <w:rsid w:val="00A85ECC"/>
    <w:rsid w:val="00A9014C"/>
    <w:rsid w:val="00A9329E"/>
    <w:rsid w:val="00A94495"/>
    <w:rsid w:val="00AA632E"/>
    <w:rsid w:val="00AB46E4"/>
    <w:rsid w:val="00AC60A9"/>
    <w:rsid w:val="00AD53EA"/>
    <w:rsid w:val="00AF3E26"/>
    <w:rsid w:val="00B05A9D"/>
    <w:rsid w:val="00B07FDF"/>
    <w:rsid w:val="00B22F7A"/>
    <w:rsid w:val="00B3360C"/>
    <w:rsid w:val="00B444D6"/>
    <w:rsid w:val="00B47970"/>
    <w:rsid w:val="00B52649"/>
    <w:rsid w:val="00B52715"/>
    <w:rsid w:val="00B66F99"/>
    <w:rsid w:val="00B72011"/>
    <w:rsid w:val="00B75BBE"/>
    <w:rsid w:val="00B762FB"/>
    <w:rsid w:val="00B76D01"/>
    <w:rsid w:val="00B809F4"/>
    <w:rsid w:val="00B825BB"/>
    <w:rsid w:val="00B91540"/>
    <w:rsid w:val="00B9156D"/>
    <w:rsid w:val="00BA449C"/>
    <w:rsid w:val="00BA69CD"/>
    <w:rsid w:val="00BC1735"/>
    <w:rsid w:val="00BC5FD3"/>
    <w:rsid w:val="00BC760B"/>
    <w:rsid w:val="00BC7A1D"/>
    <w:rsid w:val="00BD4C71"/>
    <w:rsid w:val="00BE1346"/>
    <w:rsid w:val="00BE33F0"/>
    <w:rsid w:val="00BF1CE2"/>
    <w:rsid w:val="00BF57E2"/>
    <w:rsid w:val="00C00377"/>
    <w:rsid w:val="00C2158E"/>
    <w:rsid w:val="00C253E1"/>
    <w:rsid w:val="00C35338"/>
    <w:rsid w:val="00C36E81"/>
    <w:rsid w:val="00C45B5F"/>
    <w:rsid w:val="00C54818"/>
    <w:rsid w:val="00C609AD"/>
    <w:rsid w:val="00C72B8F"/>
    <w:rsid w:val="00C757A5"/>
    <w:rsid w:val="00C913DD"/>
    <w:rsid w:val="00CA7F00"/>
    <w:rsid w:val="00CB648E"/>
    <w:rsid w:val="00CB762A"/>
    <w:rsid w:val="00CC00D9"/>
    <w:rsid w:val="00CC3153"/>
    <w:rsid w:val="00CD7520"/>
    <w:rsid w:val="00CF0FDE"/>
    <w:rsid w:val="00D00BB3"/>
    <w:rsid w:val="00D03596"/>
    <w:rsid w:val="00D041F4"/>
    <w:rsid w:val="00D054BA"/>
    <w:rsid w:val="00D16871"/>
    <w:rsid w:val="00D42211"/>
    <w:rsid w:val="00D44275"/>
    <w:rsid w:val="00D45867"/>
    <w:rsid w:val="00D4612F"/>
    <w:rsid w:val="00D749C7"/>
    <w:rsid w:val="00D81E40"/>
    <w:rsid w:val="00D9014F"/>
    <w:rsid w:val="00DA203A"/>
    <w:rsid w:val="00DA2F4F"/>
    <w:rsid w:val="00DA6ECD"/>
    <w:rsid w:val="00DA7106"/>
    <w:rsid w:val="00DB1488"/>
    <w:rsid w:val="00DB4EAD"/>
    <w:rsid w:val="00DC4BBE"/>
    <w:rsid w:val="00DC5777"/>
    <w:rsid w:val="00DE3FFC"/>
    <w:rsid w:val="00DE4212"/>
    <w:rsid w:val="00E02ADA"/>
    <w:rsid w:val="00E053BC"/>
    <w:rsid w:val="00E134D1"/>
    <w:rsid w:val="00E13EDA"/>
    <w:rsid w:val="00E22786"/>
    <w:rsid w:val="00E262DE"/>
    <w:rsid w:val="00E31A81"/>
    <w:rsid w:val="00E33D53"/>
    <w:rsid w:val="00E41DE7"/>
    <w:rsid w:val="00E517E2"/>
    <w:rsid w:val="00E52EFC"/>
    <w:rsid w:val="00E53BDA"/>
    <w:rsid w:val="00E602FC"/>
    <w:rsid w:val="00E64855"/>
    <w:rsid w:val="00E651A1"/>
    <w:rsid w:val="00E75A36"/>
    <w:rsid w:val="00E75C54"/>
    <w:rsid w:val="00E84E9C"/>
    <w:rsid w:val="00E95452"/>
    <w:rsid w:val="00E96684"/>
    <w:rsid w:val="00EB5575"/>
    <w:rsid w:val="00EB56EF"/>
    <w:rsid w:val="00EC21F5"/>
    <w:rsid w:val="00EC35CE"/>
    <w:rsid w:val="00EE24D6"/>
    <w:rsid w:val="00EE4D0B"/>
    <w:rsid w:val="00EE7C51"/>
    <w:rsid w:val="00EF2297"/>
    <w:rsid w:val="00F00BCD"/>
    <w:rsid w:val="00F04A2B"/>
    <w:rsid w:val="00F242AC"/>
    <w:rsid w:val="00F31E75"/>
    <w:rsid w:val="00F324D3"/>
    <w:rsid w:val="00F32EC9"/>
    <w:rsid w:val="00F417DD"/>
    <w:rsid w:val="00F428E3"/>
    <w:rsid w:val="00F56E08"/>
    <w:rsid w:val="00F62A77"/>
    <w:rsid w:val="00F7406D"/>
    <w:rsid w:val="00F75FBC"/>
    <w:rsid w:val="00F76754"/>
    <w:rsid w:val="00F82509"/>
    <w:rsid w:val="00F82DB7"/>
    <w:rsid w:val="00F92286"/>
    <w:rsid w:val="00F96E3D"/>
    <w:rsid w:val="00FA10AD"/>
    <w:rsid w:val="00FB3878"/>
    <w:rsid w:val="00FB6951"/>
    <w:rsid w:val="00FD12F5"/>
    <w:rsid w:val="00FD262C"/>
    <w:rsid w:val="00FD2E98"/>
    <w:rsid w:val="00FD3770"/>
    <w:rsid w:val="00FE24D2"/>
    <w:rsid w:val="00FE5D20"/>
    <w:rsid w:val="00FF25D0"/>
    <w:rsid w:val="00FF621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aliases w:val="ft,single space,Car Car,Car,Footnote Text Char Char,5_G,Char,Footnote Text Char1 Char Char,Footnote Text Char Char Char Char,Footnote Text Char Char1 Char Char Char,Footnote Text Char Char1 Char Char Char Char Ch Char,Footnote Text Char1"/>
    <w:basedOn w:val="Normal"/>
    <w:link w:val="FootnoteTextChar"/>
    <w:uiPriority w:val="99"/>
    <w:unhideWhenUsed/>
    <w:rsid w:val="001D4362"/>
    <w:pPr>
      <w:spacing w:after="0" w:line="240" w:lineRule="auto"/>
    </w:pPr>
    <w:rPr>
      <w:szCs w:val="20"/>
    </w:rPr>
  </w:style>
  <w:style w:type="character" w:customStyle="1" w:styleId="FootnoteTextChar">
    <w:name w:val="Footnote Text Char"/>
    <w:aliases w:val="ft Char,single space Char,Car Car Char,Car Char,Footnote Text Char Char Char,5_G Char,Char Char,Footnote Text Char1 Char Char Char,Footnote Text Char Char Char Char Char,Footnote Text Char Char1 Char Char Char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aliases w:val="ftref,Texto de nota al pie,4_G,Footnote Reference1,BVI fnr Char Char Char Char Char,BVI fnr Car Car Char Char Char Char Char,BVI fnr Car Char Char Char Char Char,BVI fnr Car Car Car Car Char Char Char Char Char Char Char Char Char"/>
    <w:basedOn w:val="DefaultParagraphFont"/>
    <w:link w:val="BVIfnrCharCharCharChar"/>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F7406D"/>
    <w:pPr>
      <w:spacing w:after="160" w:line="240" w:lineRule="exact"/>
    </w:pPr>
    <w:rPr>
      <w:vertAlign w:val="superscript"/>
    </w:rPr>
  </w:style>
  <w:style w:type="paragraph" w:styleId="Bibliography">
    <w:name w:val="Bibliography"/>
    <w:basedOn w:val="Normal"/>
    <w:next w:val="Normal"/>
    <w:uiPriority w:val="37"/>
    <w:semiHidden/>
    <w:unhideWhenUsed/>
    <w:rsid w:val="00F7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51071">
      <w:bodyDiv w:val="1"/>
      <w:marLeft w:val="0"/>
      <w:marRight w:val="0"/>
      <w:marTop w:val="0"/>
      <w:marBottom w:val="0"/>
      <w:divBdr>
        <w:top w:val="none" w:sz="0" w:space="0" w:color="auto"/>
        <w:left w:val="none" w:sz="0" w:space="0" w:color="auto"/>
        <w:bottom w:val="none" w:sz="0" w:space="0" w:color="auto"/>
        <w:right w:val="none" w:sz="0" w:space="0" w:color="auto"/>
      </w:divBdr>
      <w:divsChild>
        <w:div w:id="210773437">
          <w:marLeft w:val="547"/>
          <w:marRight w:val="0"/>
          <w:marTop w:val="86"/>
          <w:marBottom w:val="0"/>
          <w:divBdr>
            <w:top w:val="none" w:sz="0" w:space="0" w:color="auto"/>
            <w:left w:val="none" w:sz="0" w:space="0" w:color="auto"/>
            <w:bottom w:val="none" w:sz="0" w:space="0" w:color="auto"/>
            <w:right w:val="none" w:sz="0" w:space="0" w:color="auto"/>
          </w:divBdr>
        </w:div>
        <w:div w:id="1809742823">
          <w:marLeft w:val="547"/>
          <w:marRight w:val="0"/>
          <w:marTop w:val="86"/>
          <w:marBottom w:val="0"/>
          <w:divBdr>
            <w:top w:val="none" w:sz="0" w:space="0" w:color="auto"/>
            <w:left w:val="none" w:sz="0" w:space="0" w:color="auto"/>
            <w:bottom w:val="none" w:sz="0" w:space="0" w:color="auto"/>
            <w:right w:val="none" w:sz="0" w:space="0" w:color="auto"/>
          </w:divBdr>
        </w:div>
        <w:div w:id="1002859909">
          <w:marLeft w:val="547"/>
          <w:marRight w:val="0"/>
          <w:marTop w:val="86"/>
          <w:marBottom w:val="0"/>
          <w:divBdr>
            <w:top w:val="none" w:sz="0" w:space="0" w:color="auto"/>
            <w:left w:val="none" w:sz="0" w:space="0" w:color="auto"/>
            <w:bottom w:val="none" w:sz="0" w:space="0" w:color="auto"/>
            <w:right w:val="none" w:sz="0" w:space="0" w:color="auto"/>
          </w:divBdr>
        </w:div>
        <w:div w:id="492532949">
          <w:marLeft w:val="547"/>
          <w:marRight w:val="0"/>
          <w:marTop w:val="86"/>
          <w:marBottom w:val="0"/>
          <w:divBdr>
            <w:top w:val="none" w:sz="0" w:space="0" w:color="auto"/>
            <w:left w:val="none" w:sz="0" w:space="0" w:color="auto"/>
            <w:bottom w:val="none" w:sz="0" w:space="0" w:color="auto"/>
            <w:right w:val="none" w:sz="0" w:space="0" w:color="auto"/>
          </w:divBdr>
        </w:div>
      </w:divsChild>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177378032">
      <w:bodyDiv w:val="1"/>
      <w:marLeft w:val="0"/>
      <w:marRight w:val="0"/>
      <w:marTop w:val="0"/>
      <w:marBottom w:val="0"/>
      <w:divBdr>
        <w:top w:val="none" w:sz="0" w:space="0" w:color="auto"/>
        <w:left w:val="none" w:sz="0" w:space="0" w:color="auto"/>
        <w:bottom w:val="none" w:sz="0" w:space="0" w:color="auto"/>
        <w:right w:val="none" w:sz="0" w:space="0" w:color="auto"/>
      </w:divBdr>
    </w:div>
    <w:div w:id="1583022803">
      <w:bodyDiv w:val="1"/>
      <w:marLeft w:val="0"/>
      <w:marRight w:val="0"/>
      <w:marTop w:val="0"/>
      <w:marBottom w:val="0"/>
      <w:divBdr>
        <w:top w:val="none" w:sz="0" w:space="0" w:color="auto"/>
        <w:left w:val="none" w:sz="0" w:space="0" w:color="auto"/>
        <w:bottom w:val="none" w:sz="0" w:space="0" w:color="auto"/>
        <w:right w:val="none" w:sz="0" w:space="0" w:color="auto"/>
      </w:divBdr>
      <w:divsChild>
        <w:div w:id="297226448">
          <w:marLeft w:val="547"/>
          <w:marRight w:val="0"/>
          <w:marTop w:val="91"/>
          <w:marBottom w:val="0"/>
          <w:divBdr>
            <w:top w:val="none" w:sz="0" w:space="0" w:color="auto"/>
            <w:left w:val="none" w:sz="0" w:space="0" w:color="auto"/>
            <w:bottom w:val="none" w:sz="0" w:space="0" w:color="auto"/>
            <w:right w:val="none" w:sz="0" w:space="0" w:color="auto"/>
          </w:divBdr>
        </w:div>
        <w:div w:id="1787844697">
          <w:marLeft w:val="547"/>
          <w:marRight w:val="0"/>
          <w:marTop w:val="91"/>
          <w:marBottom w:val="0"/>
          <w:divBdr>
            <w:top w:val="none" w:sz="0" w:space="0" w:color="auto"/>
            <w:left w:val="none" w:sz="0" w:space="0" w:color="auto"/>
            <w:bottom w:val="none" w:sz="0" w:space="0" w:color="auto"/>
            <w:right w:val="none" w:sz="0" w:space="0" w:color="auto"/>
          </w:divBdr>
        </w:div>
      </w:divsChild>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linfo.aph.gov.au/parlInfo/download/committees/commjnt/7b143fda-87b0-4fee-b2b4-f94480594bdc/toc_pdf/Joint%20Standing%20Committee%20on%20Foreign%20Affairs,%20Defence%20and%20Trade_2020_09_03_8067.pdf;fileType=application%2Fpdf" TargetMode="External"/><Relationship Id="rId18" Type="http://schemas.openxmlformats.org/officeDocument/2006/relationships/hyperlink" Target="https://www.dfat.gov.au/sites/default/files/2020-21-aid-budget-summary.pdf" TargetMode="External"/><Relationship Id="rId26" Type="http://schemas.openxmlformats.org/officeDocument/2006/relationships/hyperlink" Target="https://iwda.org.au/assets/files/COVID-19-and-Gender-Based-Violence-in-PNG-FINAL-Submission_v3.pdf" TargetMode="External"/><Relationship Id="rId39" Type="http://schemas.openxmlformats.org/officeDocument/2006/relationships/hyperlink" Target="https://www.forumsec.org/boe-declaration-on-regional-security/" TargetMode="External"/><Relationship Id="rId3" Type="http://schemas.openxmlformats.org/officeDocument/2006/relationships/customXml" Target="../customXml/item3.xml"/><Relationship Id="rId21" Type="http://schemas.openxmlformats.org/officeDocument/2006/relationships/hyperlink" Target="https://iwda.org.au/resource/factsheet-care-in-crisis/" TargetMode="External"/><Relationship Id="rId34" Type="http://schemas.openxmlformats.org/officeDocument/2006/relationships/hyperlink" Target="https://ministers.dfat.gov.au/minister/alex-hawke-mp/transcript/interview-stephen-dziedzic-abc-news-channel" TargetMode="External"/><Relationship Id="rId42" Type="http://schemas.openxmlformats.org/officeDocument/2006/relationships/hyperlink" Target="https://reliefweb.int/sites/reliefweb.int/files/resources/undp-gender-GBV_and_COVID-19.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oreignminister.gov.au/minister/marise-payne/media-release/australias-support-southeast-asias-covid-19-recovery" TargetMode="External"/><Relationship Id="rId17" Type="http://schemas.openxmlformats.org/officeDocument/2006/relationships/hyperlink" Target="https://www.forumsec.org/boe-declaration-on-regional-security/" TargetMode="External"/><Relationship Id="rId25" Type="http://schemas.openxmlformats.org/officeDocument/2006/relationships/hyperlink" Target="https://iwda.org.au/assets/files/COVID-19-and-Gender-Based-Violence-in-PNG-FINAL-Submission_v3.pdf" TargetMode="External"/><Relationship Id="rId33" Type="http://schemas.openxmlformats.org/officeDocument/2006/relationships/hyperlink" Target="https://www.foreignminister.gov.au/minister/marise-payne/media-release/australias-support-southeast-asias-covid-19-recovery" TargetMode="External"/><Relationship Id="rId38" Type="http://schemas.openxmlformats.org/officeDocument/2006/relationships/hyperlink" Target="https://www.oecd.org/development/gender-development/Aid-Focussed-on-Gender-Equality-and-Women-s-Empowerment-2020.pdf" TargetMode="External"/><Relationship Id="rId46" Type="http://schemas.openxmlformats.org/officeDocument/2006/relationships/hyperlink" Target="https://wwgonffd.files.wordpress.com/2015/07/women-working-group-reaction-to-addis-ababa-action-agenda-17-july-20151.pdf" TargetMode="External"/><Relationship Id="rId2" Type="http://schemas.openxmlformats.org/officeDocument/2006/relationships/customXml" Target="../customXml/item2.xml"/><Relationship Id="rId16" Type="http://schemas.openxmlformats.org/officeDocument/2006/relationships/hyperlink" Target="https://acfid.asn.au/sites/site.acfid/files/ACFID%202020-2021%20Budget%20Analysis%20%281%29.pdf" TargetMode="External"/><Relationship Id="rId20" Type="http://schemas.openxmlformats.org/officeDocument/2006/relationships/hyperlink" Target="https://www2.unwomen.org/-/media/field%20office%20eseasia/docs/publications/2020/04/ap_first_100-days_covid-19-r02.pdf?la=en&amp;vs=3400" TargetMode="External"/><Relationship Id="rId29" Type="http://schemas.openxmlformats.org/officeDocument/2006/relationships/hyperlink" Target="https://acfid.asn.au/sites/site.acfid/files/ACFID%202020-2021%20Budget%20Analysis%20%281%29.pdf" TargetMode="External"/><Relationship Id="rId41" Type="http://schemas.openxmlformats.org/officeDocument/2006/relationships/hyperlink" Target="http://www.hdr.undp.org/en/content/covid-19-human-development-course-decline-year-first-time-19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policy.org/2020-aid-budget-20201007/" TargetMode="External"/><Relationship Id="rId24" Type="http://schemas.openxmlformats.org/officeDocument/2006/relationships/hyperlink" Target="https://reliefweb.int/sites/reliefweb.int/files/resources/undp-gender-GBV_and_COVID-19.pdf" TargetMode="External"/><Relationship Id="rId32" Type="http://schemas.openxmlformats.org/officeDocument/2006/relationships/hyperlink" Target="https://iwda.org.au/assets/files/COVID-19-and-Gender-Based-Violence-in-PNG-FINAL-Submission_v3.pdf" TargetMode="External"/><Relationship Id="rId37" Type="http://schemas.openxmlformats.org/officeDocument/2006/relationships/hyperlink" Target="https://iwda.org.au/resource/factsheet-care-in-crisis/" TargetMode="External"/><Relationship Id="rId40" Type="http://schemas.openxmlformats.org/officeDocument/2006/relationships/hyperlink" Target="https://www.theguardian.com/world/2017/mar/09/women-bearing-86-of-austerity-burden-labour-research-reveals" TargetMode="External"/><Relationship Id="rId45" Type="http://schemas.openxmlformats.org/officeDocument/2006/relationships/hyperlink" Target="https://www2.unwomen.org/-/media/field%20office%20eseasia/docs/publications/2020/04/ap_first_100-days_covid-19-r02.pdf?la=en&amp;vs=3400"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unfpa.org/sites/default/files/resource-pdf/COVID-19_impact_brief_for_UNFPA_24_April_2020_1.pdf" TargetMode="External"/><Relationship Id="rId28" Type="http://schemas.openxmlformats.org/officeDocument/2006/relationships/hyperlink" Target="https://wps.unwomen.org/pdf/en/GlobalStudy_EN_Web.pdf" TargetMode="External"/><Relationship Id="rId36" Type="http://schemas.openxmlformats.org/officeDocument/2006/relationships/hyperlink" Target="https://www.individualdeprivationmeasure.org/resources/planning-for-prevention-fiji/"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dr.undp.org/en/content/covid-19-human-development-course-decline-year-first-time-1990" TargetMode="External"/><Relationship Id="rId31" Type="http://schemas.openxmlformats.org/officeDocument/2006/relationships/hyperlink" Target="https://www.dfat.gov.au/sites/default/files/2020-21-aid-budget-summary.pdf" TargetMode="External"/><Relationship Id="rId44" Type="http://schemas.openxmlformats.org/officeDocument/2006/relationships/hyperlink" Target="https://wps.unwomen.org/pdf/en/GlobalStudy_EN_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isters.dfat.gov.au/minister/alex-hawke-mp/transcript/interview-stephen-dziedzic-abc-news-channel" TargetMode="External"/><Relationship Id="rId22" Type="http://schemas.openxmlformats.org/officeDocument/2006/relationships/hyperlink" Target="https://www.individualdeprivationmeasure.org/resources/planning-for-prevention-fiji/" TargetMode="External"/><Relationship Id="rId27" Type="http://schemas.openxmlformats.org/officeDocument/2006/relationships/hyperlink" Target="https://www.oecd.org/development/gender-development/Aid-Focussed-on-Gender-Equality-and-Women-s-Empowerment-2020.pdf" TargetMode="External"/><Relationship Id="rId30" Type="http://schemas.openxmlformats.org/officeDocument/2006/relationships/hyperlink" Target="https://parlinfo.aph.gov.au/parlInfo/download/committees/commjnt/7b143fda-87b0-4fee-b2b4-f94480594bdc/toc_pdf/Joint%20Standing%20Committee%20on%20Foreign%20Affairs,%20Defence%20and%20Trade_2020_09_03_8067.pdf;fileType=application%2Fpdf" TargetMode="External"/><Relationship Id="rId35" Type="http://schemas.openxmlformats.org/officeDocument/2006/relationships/hyperlink" Target="https://devpolicy.org/2020-aid-budget-20201007/" TargetMode="External"/><Relationship Id="rId43" Type="http://schemas.openxmlformats.org/officeDocument/2006/relationships/hyperlink" Target="https://www.unfpa.org/sites/default/files/resource-pdf/COVID-19_impact_brief_for_UNFPA_24_April_2020_1.pdf" TargetMode="External"/><Relationship Id="rId48"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51A35BF9-86EE-4E7E-BDB0-5C82F998C628}">
  <ds:schemaRefs>
    <ds:schemaRef ds:uri="http://schemas.openxmlformats.org/officeDocument/2006/bibliography"/>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12</TotalTime>
  <Pages>6</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Development</dc:title>
  <dc:creator>Kathy MacDermott</dc:creator>
  <cp:lastModifiedBy>Jennifer Bushell</cp:lastModifiedBy>
  <cp:revision>6</cp:revision>
  <dcterms:created xsi:type="dcterms:W3CDTF">2020-10-13T22:53:00Z</dcterms:created>
  <dcterms:modified xsi:type="dcterms:W3CDTF">2020-10-15T05:54:00Z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