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1562671D" w:rsidR="008714DD" w:rsidRPr="00814BDF" w:rsidRDefault="005C3032" w:rsidP="00DA7106">
      <w:pPr>
        <w:pStyle w:val="Title"/>
        <w:jc w:val="center"/>
        <w:rPr>
          <w:sz w:val="56"/>
          <w:szCs w:val="56"/>
          <w:lang w:val="en-AU"/>
        </w:rPr>
      </w:pPr>
      <w:bookmarkStart w:id="0" w:name="_Hlk34385709"/>
      <w:r w:rsidRPr="00814BDF">
        <w:rPr>
          <w:sz w:val="56"/>
          <w:szCs w:val="56"/>
          <w:lang w:val="en-AU"/>
        </w:rPr>
        <w:t>Budget 20</w:t>
      </w:r>
      <w:r w:rsidR="00DA7106" w:rsidRPr="00814BDF">
        <w:rPr>
          <w:sz w:val="56"/>
          <w:szCs w:val="56"/>
          <w:lang w:val="en-AU"/>
        </w:rPr>
        <w:t>20</w:t>
      </w:r>
      <w:r w:rsidRPr="00814BDF">
        <w:rPr>
          <w:sz w:val="56"/>
          <w:szCs w:val="56"/>
          <w:lang w:val="en-AU"/>
        </w:rPr>
        <w:t xml:space="preserve"> </w:t>
      </w:r>
      <w:r w:rsidR="00297C09" w:rsidRPr="00814BDF">
        <w:rPr>
          <w:sz w:val="56"/>
          <w:szCs w:val="56"/>
          <w:lang w:val="en-AU"/>
        </w:rPr>
        <w:t>–</w:t>
      </w:r>
      <w:r w:rsidR="00492049" w:rsidRPr="00814BDF">
        <w:rPr>
          <w:sz w:val="56"/>
          <w:szCs w:val="56"/>
          <w:lang w:val="en-AU"/>
        </w:rPr>
        <w:t xml:space="preserve"> </w:t>
      </w:r>
      <w:r w:rsidR="00B155EE" w:rsidRPr="00814BDF">
        <w:rPr>
          <w:sz w:val="56"/>
          <w:szCs w:val="56"/>
          <w:lang w:val="en-AU"/>
        </w:rPr>
        <w:t>Climate change and Energy</w:t>
      </w:r>
    </w:p>
    <w:p w14:paraId="3B0C0475" w14:textId="77777777" w:rsidR="00EB5575" w:rsidRPr="00814BDF" w:rsidRDefault="00EB5575" w:rsidP="00EB5575">
      <w:pPr>
        <w:pStyle w:val="Title"/>
        <w:rPr>
          <w:rFonts w:cs="Poppins"/>
          <w:color w:val="000000"/>
          <w:sz w:val="26"/>
          <w:szCs w:val="26"/>
          <w:lang w:val="en-AU"/>
        </w:rPr>
      </w:pPr>
    </w:p>
    <w:tbl>
      <w:tblPr>
        <w:tblStyle w:val="ListTable4-Accent21"/>
        <w:tblW w:w="0" w:type="auto"/>
        <w:tblLook w:val="04A0" w:firstRow="1" w:lastRow="0" w:firstColumn="1" w:lastColumn="0" w:noHBand="0" w:noVBand="1"/>
      </w:tblPr>
      <w:tblGrid>
        <w:gridCol w:w="9350"/>
      </w:tblGrid>
      <w:tr w:rsidR="00957067" w:rsidRPr="00814BDF"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6BA829CD" w:rsidR="00957067" w:rsidRPr="00814BDF" w:rsidRDefault="00B155EE" w:rsidP="00B155EE">
            <w:pPr>
              <w:pStyle w:val="Heading1"/>
              <w:jc w:val="center"/>
              <w:outlineLvl w:val="0"/>
              <w:rPr>
                <w:color w:val="000000"/>
              </w:rPr>
            </w:pPr>
            <w:r w:rsidRPr="00814BDF">
              <w:rPr>
                <w:color w:val="auto"/>
              </w:rPr>
              <w:t>Climate change and Energy</w:t>
            </w:r>
            <w:r w:rsidR="00BA449C" w:rsidRPr="00814BDF">
              <w:rPr>
                <w:color w:val="auto"/>
              </w:rPr>
              <w:t xml:space="preserve"> </w:t>
            </w:r>
            <w:r w:rsidR="00957067" w:rsidRPr="00814BDF">
              <w:rPr>
                <w:color w:val="auto"/>
              </w:rPr>
              <w:t>Overview</w:t>
            </w:r>
          </w:p>
        </w:tc>
      </w:tr>
      <w:tr w:rsidR="00957067" w:rsidRPr="00814BDF"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6B57BD29" w:rsidR="0008464C" w:rsidRDefault="0008464C" w:rsidP="006579B3">
            <w:pPr>
              <w:spacing w:after="120"/>
              <w:jc w:val="both"/>
              <w:rPr>
                <w:rFonts w:eastAsiaTheme="minorHAnsi" w:cstheme="minorHAnsi"/>
              </w:rPr>
            </w:pPr>
          </w:p>
          <w:p w14:paraId="77190450" w14:textId="6A516D0A" w:rsidR="00A85ECC" w:rsidRPr="00814BDF" w:rsidRDefault="00814BDF" w:rsidP="006579B3">
            <w:pPr>
              <w:spacing w:after="120"/>
              <w:jc w:val="both"/>
              <w:rPr>
                <w:rFonts w:eastAsiaTheme="minorHAnsi" w:cstheme="minorHAnsi"/>
                <w:b w:val="0"/>
              </w:rPr>
            </w:pPr>
            <w:bookmarkStart w:id="1" w:name="_Hlk34385785"/>
            <w:r>
              <w:rPr>
                <w:rFonts w:eastAsiaTheme="minorHAnsi" w:cstheme="minorHAnsi"/>
                <w:b w:val="0"/>
                <w:bCs w:val="0"/>
                <w:sz w:val="24"/>
                <w:szCs w:val="24"/>
              </w:rPr>
              <w:t xml:space="preserve">The 2020-21 Budget </w:t>
            </w:r>
            <w:r w:rsidR="00FB6BB6">
              <w:rPr>
                <w:rFonts w:eastAsiaTheme="minorHAnsi" w:cstheme="minorHAnsi"/>
                <w:b w:val="0"/>
                <w:bCs w:val="0"/>
                <w:sz w:val="24"/>
                <w:szCs w:val="24"/>
              </w:rPr>
              <w:t xml:space="preserve">is a missed opportunity to lead Australia on a path to a green recovery. The budget delivers the majority of its funding to </w:t>
            </w:r>
            <w:r w:rsidR="00FB6BB6" w:rsidRPr="00005F2D">
              <w:rPr>
                <w:rFonts w:eastAsiaTheme="minorHAnsi" w:cstheme="minorHAnsi"/>
                <w:b w:val="0"/>
                <w:bCs w:val="0"/>
                <w:sz w:val="24"/>
                <w:szCs w:val="24"/>
                <w:lang w:val="en-US"/>
              </w:rPr>
              <w:t xml:space="preserve">support investment in </w:t>
            </w:r>
            <w:r w:rsidR="00FB6BB6">
              <w:rPr>
                <w:rFonts w:eastAsiaTheme="minorHAnsi" w:cstheme="minorHAnsi"/>
                <w:b w:val="0"/>
                <w:bCs w:val="0"/>
                <w:sz w:val="24"/>
                <w:szCs w:val="24"/>
                <w:lang w:val="en-US"/>
              </w:rPr>
              <w:t>male-dominated energy and gas industries, with little stimulus for clean or renewable energy development. Th</w:t>
            </w:r>
            <w:r w:rsidR="00005F2D">
              <w:rPr>
                <w:rFonts w:eastAsiaTheme="minorHAnsi" w:cstheme="minorHAnsi"/>
                <w:b w:val="0"/>
                <w:bCs w:val="0"/>
                <w:sz w:val="24"/>
                <w:szCs w:val="24"/>
              </w:rPr>
              <w:t>e mandate</w:t>
            </w:r>
            <w:r w:rsidR="00FB6BB6">
              <w:rPr>
                <w:rFonts w:eastAsiaTheme="minorHAnsi" w:cstheme="minorHAnsi"/>
                <w:b w:val="0"/>
                <w:bCs w:val="0"/>
                <w:sz w:val="24"/>
                <w:szCs w:val="24"/>
              </w:rPr>
              <w:t xml:space="preserve"> of</w:t>
            </w:r>
            <w:r w:rsidR="00005F2D">
              <w:rPr>
                <w:rFonts w:eastAsiaTheme="minorHAnsi" w:cstheme="minorHAnsi"/>
                <w:b w:val="0"/>
                <w:bCs w:val="0"/>
                <w:sz w:val="24"/>
                <w:szCs w:val="24"/>
              </w:rPr>
              <w:t xml:space="preserve"> the </w:t>
            </w:r>
            <w:r w:rsidR="00005F2D" w:rsidRPr="00005F2D">
              <w:rPr>
                <w:rFonts w:eastAsiaTheme="minorHAnsi" w:cstheme="minorHAnsi"/>
                <w:b w:val="0"/>
                <w:bCs w:val="0"/>
                <w:sz w:val="24"/>
                <w:szCs w:val="24"/>
                <w:lang w:val="en-US"/>
              </w:rPr>
              <w:t>Australian Renewable Energy Agency (ARENA)</w:t>
            </w:r>
            <w:r w:rsidR="00005F2D">
              <w:rPr>
                <w:rFonts w:eastAsiaTheme="minorHAnsi" w:cstheme="minorHAnsi"/>
                <w:b w:val="0"/>
                <w:bCs w:val="0"/>
                <w:sz w:val="24"/>
                <w:szCs w:val="24"/>
                <w:lang w:val="en-US"/>
              </w:rPr>
              <w:t xml:space="preserve"> and </w:t>
            </w:r>
            <w:r w:rsidR="00005F2D" w:rsidRPr="00005F2D">
              <w:rPr>
                <w:rFonts w:eastAsiaTheme="minorHAnsi" w:cstheme="minorHAnsi"/>
                <w:b w:val="0"/>
                <w:bCs w:val="0"/>
                <w:sz w:val="24"/>
                <w:szCs w:val="24"/>
                <w:lang w:val="en-US"/>
              </w:rPr>
              <w:t>the Clean Energy Finance Corporation (CEFC)</w:t>
            </w:r>
            <w:r w:rsidR="00FB6BB6">
              <w:rPr>
                <w:rFonts w:eastAsiaTheme="minorHAnsi" w:cstheme="minorHAnsi"/>
                <w:b w:val="0"/>
                <w:bCs w:val="0"/>
                <w:sz w:val="24"/>
                <w:szCs w:val="24"/>
                <w:lang w:val="en-US"/>
              </w:rPr>
              <w:t xml:space="preserve"> is expanded</w:t>
            </w:r>
            <w:r w:rsidR="00005F2D" w:rsidRPr="00005F2D">
              <w:rPr>
                <w:rFonts w:eastAsiaTheme="minorHAnsi" w:cstheme="minorHAnsi"/>
                <w:b w:val="0"/>
                <w:bCs w:val="0"/>
                <w:sz w:val="24"/>
                <w:szCs w:val="24"/>
                <w:lang w:val="en-US"/>
              </w:rPr>
              <w:t xml:space="preserve"> </w:t>
            </w:r>
            <w:r w:rsidR="00005F2D">
              <w:rPr>
                <w:rFonts w:eastAsiaTheme="minorHAnsi" w:cstheme="minorHAnsi"/>
                <w:b w:val="0"/>
                <w:bCs w:val="0"/>
                <w:sz w:val="24"/>
                <w:szCs w:val="24"/>
                <w:lang w:val="en-US"/>
              </w:rPr>
              <w:t>to allow investments in carbon capture and storage and gas developments</w:t>
            </w:r>
            <w:r w:rsidR="00005F2D">
              <w:rPr>
                <w:rFonts w:eastAsiaTheme="minorHAnsi" w:cstheme="minorHAnsi"/>
                <w:b w:val="0"/>
                <w:bCs w:val="0"/>
                <w:sz w:val="24"/>
                <w:szCs w:val="24"/>
              </w:rPr>
              <w:t xml:space="preserve">. </w:t>
            </w:r>
            <w:bookmarkEnd w:id="1"/>
            <w:r w:rsidR="00FB6BB6">
              <w:rPr>
                <w:rFonts w:eastAsiaTheme="minorHAnsi" w:cstheme="minorHAnsi"/>
                <w:b w:val="0"/>
                <w:bCs w:val="0"/>
                <w:sz w:val="24"/>
                <w:szCs w:val="24"/>
              </w:rPr>
              <w:t xml:space="preserve">The announced </w:t>
            </w:r>
            <w:r w:rsidR="00FB6BB6">
              <w:rPr>
                <w:rFonts w:eastAsiaTheme="minorHAnsi" w:cstheme="minorHAnsi"/>
                <w:b w:val="0"/>
                <w:bCs w:val="0"/>
                <w:sz w:val="24"/>
                <w:szCs w:val="24"/>
                <w:lang w:val="en-US"/>
              </w:rPr>
              <w:t>investments</w:t>
            </w:r>
            <w:r w:rsidR="00C6191E">
              <w:rPr>
                <w:rFonts w:eastAsiaTheme="minorHAnsi" w:cstheme="minorHAnsi"/>
                <w:b w:val="0"/>
                <w:bCs w:val="0"/>
                <w:sz w:val="24"/>
                <w:szCs w:val="24"/>
                <w:lang w:val="en-US"/>
              </w:rPr>
              <w:t xml:space="preserve"> in coal, gas, and diesel fuels will lock in an on-going dependence on fossil fuels</w:t>
            </w:r>
            <w:r w:rsidR="00FB6BB6">
              <w:rPr>
                <w:rFonts w:eastAsiaTheme="minorHAnsi" w:cstheme="minorHAnsi"/>
                <w:b w:val="0"/>
                <w:bCs w:val="0"/>
                <w:sz w:val="24"/>
                <w:szCs w:val="24"/>
                <w:lang w:val="en-US"/>
              </w:rPr>
              <w:t xml:space="preserve"> and deliver little progress on climate change abatement or gender parity</w:t>
            </w:r>
            <w:r w:rsidR="00C6191E">
              <w:rPr>
                <w:rFonts w:eastAsiaTheme="minorHAnsi" w:cstheme="minorHAnsi"/>
                <w:b w:val="0"/>
                <w:bCs w:val="0"/>
                <w:sz w:val="24"/>
                <w:szCs w:val="24"/>
                <w:lang w:val="en-US"/>
              </w:rPr>
              <w:t>.</w:t>
            </w:r>
          </w:p>
        </w:tc>
      </w:tr>
    </w:tbl>
    <w:p w14:paraId="1D5FC5E7" w14:textId="77777777" w:rsidR="000C302D" w:rsidRPr="00814BDF" w:rsidRDefault="000C302D" w:rsidP="000C302D">
      <w:pPr>
        <w:rPr>
          <w:rFonts w:ascii="Calibri" w:eastAsia="Times New Roman" w:hAnsi="Calibri" w:cs="Calibri"/>
          <w:lang w:val="en-AU" w:eastAsia="en-GB"/>
        </w:rPr>
      </w:pPr>
    </w:p>
    <w:p w14:paraId="7E37DFEB" w14:textId="2C7F240C" w:rsidR="00EB5575" w:rsidRPr="00814BDF" w:rsidRDefault="00B155EE" w:rsidP="00EB5575">
      <w:pPr>
        <w:pStyle w:val="Heading1"/>
        <w:rPr>
          <w:lang w:val="en-AU"/>
        </w:rPr>
      </w:pPr>
      <w:r w:rsidRPr="00814BDF">
        <w:rPr>
          <w:lang w:val="en-AU"/>
        </w:rPr>
        <w:t>Climate Change and Energy</w:t>
      </w:r>
    </w:p>
    <w:p w14:paraId="409632A2" w14:textId="77777777" w:rsidR="00EB5575" w:rsidRPr="00814BDF" w:rsidRDefault="00EB5575" w:rsidP="00EB5575">
      <w:pPr>
        <w:pStyle w:val="Heading2"/>
        <w:rPr>
          <w:lang w:val="en-AU"/>
        </w:rPr>
      </w:pPr>
      <w:r w:rsidRPr="00814BDF">
        <w:rPr>
          <w:lang w:val="en-AU"/>
        </w:rPr>
        <w:t>The Budget</w:t>
      </w:r>
    </w:p>
    <w:p w14:paraId="41A3940A" w14:textId="08C9F02F" w:rsidR="00B155EE" w:rsidRPr="00814BDF" w:rsidRDefault="00B155EE" w:rsidP="00EB5575">
      <w:pPr>
        <w:pStyle w:val="CommentText"/>
        <w:jc w:val="both"/>
        <w:rPr>
          <w:sz w:val="24"/>
          <w:szCs w:val="24"/>
          <w:lang w:val="en-AU"/>
        </w:rPr>
      </w:pPr>
      <w:r w:rsidRPr="00814BDF">
        <w:rPr>
          <w:sz w:val="24"/>
          <w:szCs w:val="24"/>
          <w:lang w:val="en-AU"/>
        </w:rPr>
        <w:t xml:space="preserve">Budget measures related to energy and climate change are found in the Industry, Science, Energy and Resources Portfolio. </w:t>
      </w:r>
      <w:r w:rsidR="00C6191E">
        <w:rPr>
          <w:sz w:val="24"/>
          <w:szCs w:val="24"/>
          <w:lang w:val="en-AU"/>
        </w:rPr>
        <w:t>As announced in September 2020, t</w:t>
      </w:r>
      <w:r w:rsidRPr="00814BDF">
        <w:rPr>
          <w:sz w:val="24"/>
          <w:szCs w:val="24"/>
          <w:lang w:val="en-AU"/>
        </w:rPr>
        <w:t>he Budget has some significant outcomes for the energy industry</w:t>
      </w:r>
      <w:r w:rsidR="00D6516F">
        <w:rPr>
          <w:sz w:val="24"/>
          <w:szCs w:val="24"/>
          <w:lang w:val="en-AU"/>
        </w:rPr>
        <w:t>. However, climate mitigation progress through investments in low emission technologies and renewable energies appears limited.</w:t>
      </w:r>
    </w:p>
    <w:p w14:paraId="59A07409" w14:textId="20F7DD41" w:rsidR="00B155EE" w:rsidRPr="00814BDF" w:rsidRDefault="00B155EE" w:rsidP="006579B3">
      <w:pPr>
        <w:pStyle w:val="Heading3"/>
        <w:rPr>
          <w:lang w:val="en-AU"/>
        </w:rPr>
      </w:pPr>
      <w:r w:rsidRPr="00814BDF">
        <w:rPr>
          <w:lang w:val="en-AU"/>
        </w:rPr>
        <w:t xml:space="preserve">Investment in </w:t>
      </w:r>
      <w:r w:rsidR="00947E91" w:rsidRPr="00814BDF">
        <w:rPr>
          <w:lang w:val="en-AU"/>
        </w:rPr>
        <w:t>renewable energy</w:t>
      </w:r>
    </w:p>
    <w:p w14:paraId="60776988" w14:textId="3D4F213D" w:rsidR="00947E91" w:rsidRPr="00814BDF" w:rsidRDefault="00B155EE" w:rsidP="00B155EE">
      <w:pPr>
        <w:pStyle w:val="CommentText"/>
        <w:jc w:val="both"/>
        <w:rPr>
          <w:sz w:val="24"/>
          <w:szCs w:val="24"/>
          <w:lang w:val="en-AU"/>
        </w:rPr>
      </w:pPr>
      <w:r w:rsidRPr="00814BDF">
        <w:rPr>
          <w:sz w:val="24"/>
          <w:szCs w:val="24"/>
          <w:lang w:val="en-AU"/>
        </w:rPr>
        <w:t xml:space="preserve">The Government will </w:t>
      </w:r>
      <w:r w:rsidR="00947E91" w:rsidRPr="00814BDF">
        <w:rPr>
          <w:sz w:val="24"/>
          <w:szCs w:val="24"/>
          <w:lang w:val="en-AU"/>
        </w:rPr>
        <w:t>provide $5.0 million in 2020-21 to establish an Advanced Manufacturing Facility in South Australia to facilitate the manufacturing and assembly of electric vehicles and for a bi-directional vehicle-to-grid trial in South Australia (Budget Paper No</w:t>
      </w:r>
      <w:r w:rsidR="00F737A3" w:rsidRPr="00814BDF">
        <w:rPr>
          <w:sz w:val="24"/>
          <w:szCs w:val="24"/>
          <w:lang w:val="en-AU"/>
        </w:rPr>
        <w:t>.</w:t>
      </w:r>
      <w:r w:rsidR="00947E91" w:rsidRPr="00814BDF">
        <w:rPr>
          <w:sz w:val="24"/>
          <w:szCs w:val="24"/>
          <w:lang w:val="en-AU"/>
        </w:rPr>
        <w:t>2, p.113, 2020).</w:t>
      </w:r>
    </w:p>
    <w:p w14:paraId="1C1668D4" w14:textId="10A27441" w:rsidR="00947E91" w:rsidRPr="00814BDF" w:rsidRDefault="00947E91" w:rsidP="006579B3">
      <w:pPr>
        <w:pStyle w:val="Heading3"/>
        <w:rPr>
          <w:lang w:val="en-AU"/>
        </w:rPr>
      </w:pPr>
      <w:r w:rsidRPr="00814BDF">
        <w:rPr>
          <w:lang w:val="en-AU"/>
        </w:rPr>
        <w:t>Investments in new energy technologies</w:t>
      </w:r>
    </w:p>
    <w:p w14:paraId="2DAD0C88" w14:textId="2CA752C6" w:rsidR="00947E91" w:rsidRPr="00814BDF" w:rsidRDefault="001B501A" w:rsidP="00B155EE">
      <w:pPr>
        <w:pStyle w:val="CommentText"/>
        <w:jc w:val="both"/>
        <w:rPr>
          <w:sz w:val="24"/>
          <w:szCs w:val="24"/>
          <w:lang w:val="en-AU"/>
        </w:rPr>
      </w:pPr>
      <w:r w:rsidRPr="00814BDF">
        <w:rPr>
          <w:sz w:val="24"/>
          <w:szCs w:val="24"/>
          <w:lang w:val="en-AU"/>
        </w:rPr>
        <w:t xml:space="preserve">As part of the </w:t>
      </w:r>
      <w:proofErr w:type="spellStart"/>
      <w:r w:rsidRPr="00814BDF">
        <w:rPr>
          <w:sz w:val="24"/>
          <w:szCs w:val="24"/>
          <w:lang w:val="en-AU"/>
        </w:rPr>
        <w:t>JobMaker</w:t>
      </w:r>
      <w:proofErr w:type="spellEnd"/>
      <w:r w:rsidRPr="00814BDF">
        <w:rPr>
          <w:sz w:val="24"/>
          <w:szCs w:val="24"/>
          <w:lang w:val="en-AU"/>
        </w:rPr>
        <w:t xml:space="preserve"> Plan, t</w:t>
      </w:r>
      <w:r w:rsidR="00947E91" w:rsidRPr="00814BDF">
        <w:rPr>
          <w:sz w:val="24"/>
          <w:szCs w:val="24"/>
          <w:lang w:val="en-AU"/>
        </w:rPr>
        <w:t>he Government will provide $1.4 billion in new funding to the Australian Renewable Energy Agency (ARENA) over 12 years, including $223.9 million over four years to 2023-24 to provide research and development investments for emerging low emission technologies (</w:t>
      </w:r>
      <w:r w:rsidRPr="00814BDF">
        <w:rPr>
          <w:sz w:val="24"/>
          <w:szCs w:val="24"/>
          <w:lang w:val="en-AU"/>
        </w:rPr>
        <w:t>Budget Paper No</w:t>
      </w:r>
      <w:r w:rsidR="00F737A3" w:rsidRPr="00814BDF">
        <w:rPr>
          <w:sz w:val="24"/>
          <w:szCs w:val="24"/>
          <w:lang w:val="en-AU"/>
        </w:rPr>
        <w:t>.</w:t>
      </w:r>
      <w:r w:rsidRPr="00814BDF">
        <w:rPr>
          <w:sz w:val="24"/>
          <w:szCs w:val="24"/>
          <w:lang w:val="en-AU"/>
        </w:rPr>
        <w:t>2,</w:t>
      </w:r>
      <w:r w:rsidR="00F737A3" w:rsidRPr="00814BDF">
        <w:rPr>
          <w:sz w:val="24"/>
          <w:szCs w:val="24"/>
          <w:lang w:val="en-AU"/>
        </w:rPr>
        <w:t xml:space="preserve"> p.</w:t>
      </w:r>
      <w:r w:rsidRPr="00814BDF">
        <w:rPr>
          <w:sz w:val="24"/>
          <w:szCs w:val="24"/>
          <w:lang w:val="en-AU"/>
        </w:rPr>
        <w:t>113, 2020).</w:t>
      </w:r>
      <w:r w:rsidR="00947E91" w:rsidRPr="00814BDF">
        <w:rPr>
          <w:sz w:val="24"/>
          <w:szCs w:val="24"/>
          <w:lang w:val="en-AU"/>
        </w:rPr>
        <w:t xml:space="preserve"> This</w:t>
      </w:r>
      <w:r w:rsidRPr="00814BDF">
        <w:rPr>
          <w:sz w:val="24"/>
          <w:szCs w:val="24"/>
          <w:lang w:val="en-AU"/>
        </w:rPr>
        <w:t xml:space="preserve"> funding will be partially </w:t>
      </w:r>
      <w:r w:rsidR="00D553AA" w:rsidRPr="00814BDF">
        <w:rPr>
          <w:sz w:val="24"/>
          <w:szCs w:val="24"/>
          <w:lang w:val="en-AU"/>
        </w:rPr>
        <w:t xml:space="preserve">sourced by removing </w:t>
      </w:r>
      <w:r w:rsidRPr="00814BDF">
        <w:rPr>
          <w:sz w:val="24"/>
          <w:szCs w:val="24"/>
          <w:lang w:val="en-AU"/>
        </w:rPr>
        <w:t xml:space="preserve">funding from the Climate Solutions Fund, with the budget outlining </w:t>
      </w:r>
      <w:r w:rsidR="00D553AA" w:rsidRPr="00814BDF">
        <w:rPr>
          <w:sz w:val="24"/>
          <w:szCs w:val="24"/>
          <w:lang w:val="en-AU"/>
        </w:rPr>
        <w:t xml:space="preserve">that </w:t>
      </w:r>
      <w:r w:rsidRPr="00814BDF">
        <w:rPr>
          <w:sz w:val="24"/>
          <w:szCs w:val="24"/>
          <w:lang w:val="en-AU"/>
        </w:rPr>
        <w:t>$86.3 million will be taken away from the Clean Energy Regulator over the next four years, which administers the Fund.</w:t>
      </w:r>
      <w:r w:rsidR="00D553AA" w:rsidRPr="00814BDF">
        <w:rPr>
          <w:sz w:val="24"/>
          <w:szCs w:val="24"/>
          <w:lang w:val="en-AU"/>
        </w:rPr>
        <w:t xml:space="preserve"> </w:t>
      </w:r>
      <w:r w:rsidR="00D6516F">
        <w:rPr>
          <w:sz w:val="24"/>
          <w:szCs w:val="24"/>
          <w:lang w:val="en-AU"/>
        </w:rPr>
        <w:t>While new funding for ARENA is welcomed, t</w:t>
      </w:r>
      <w:r w:rsidR="00F737A3" w:rsidRPr="00814BDF">
        <w:rPr>
          <w:sz w:val="24"/>
          <w:szCs w:val="24"/>
          <w:lang w:val="en-AU"/>
        </w:rPr>
        <w:t>h</w:t>
      </w:r>
      <w:r w:rsidR="00D6516F">
        <w:rPr>
          <w:sz w:val="24"/>
          <w:szCs w:val="24"/>
          <w:lang w:val="en-AU"/>
        </w:rPr>
        <w:t xml:space="preserve">e $1.4 billion over 12 years constitutes an effective reduction in funding for the agency, which previously received </w:t>
      </w:r>
      <w:r w:rsidR="00F737A3" w:rsidRPr="00814BDF">
        <w:rPr>
          <w:sz w:val="24"/>
          <w:szCs w:val="24"/>
          <w:lang w:val="en-AU"/>
        </w:rPr>
        <w:t>$1.58 billion</w:t>
      </w:r>
      <w:r w:rsidR="00D6516F">
        <w:rPr>
          <w:rStyle w:val="CommentReference"/>
        </w:rPr>
        <w:t xml:space="preserve"> </w:t>
      </w:r>
      <w:r w:rsidR="00947E91" w:rsidRPr="00814BDF">
        <w:rPr>
          <w:sz w:val="24"/>
          <w:szCs w:val="24"/>
          <w:lang w:val="en-AU"/>
        </w:rPr>
        <w:t xml:space="preserve">over the eight years </w:t>
      </w:r>
      <w:r w:rsidR="00F737A3" w:rsidRPr="00814BDF">
        <w:rPr>
          <w:sz w:val="24"/>
          <w:szCs w:val="24"/>
          <w:lang w:val="en-AU"/>
        </w:rPr>
        <w:t>2012-</w:t>
      </w:r>
      <w:r w:rsidR="00947E91" w:rsidRPr="00814BDF">
        <w:rPr>
          <w:sz w:val="24"/>
          <w:szCs w:val="24"/>
          <w:lang w:val="en-AU"/>
        </w:rPr>
        <w:t>20</w:t>
      </w:r>
      <w:r w:rsidR="00F737A3" w:rsidRPr="00814BDF">
        <w:rPr>
          <w:sz w:val="24"/>
          <w:szCs w:val="24"/>
          <w:lang w:val="en-AU"/>
        </w:rPr>
        <w:t xml:space="preserve"> (ARENA, 2020)</w:t>
      </w:r>
      <w:r w:rsidR="00947E91" w:rsidRPr="00814BDF">
        <w:rPr>
          <w:sz w:val="24"/>
          <w:szCs w:val="24"/>
          <w:lang w:val="en-AU"/>
        </w:rPr>
        <w:t xml:space="preserve">. </w:t>
      </w:r>
    </w:p>
    <w:p w14:paraId="49AEF4A6" w14:textId="5421E3E9" w:rsidR="00E66E07" w:rsidRPr="00814BDF" w:rsidRDefault="00F737A3" w:rsidP="00E66E07">
      <w:pPr>
        <w:pStyle w:val="CommentText"/>
        <w:jc w:val="both"/>
        <w:rPr>
          <w:sz w:val="24"/>
          <w:szCs w:val="24"/>
          <w:lang w:val="en-AU"/>
        </w:rPr>
      </w:pPr>
      <w:r w:rsidRPr="00814BDF">
        <w:rPr>
          <w:sz w:val="24"/>
          <w:szCs w:val="24"/>
          <w:lang w:val="en-AU"/>
        </w:rPr>
        <w:lastRenderedPageBreak/>
        <w:t xml:space="preserve">The Budget includes $50.0 million in funding over three years to establish a Commonwealth Carbon Capture Use and Storage Development Fund (Budget Paper No.2, p.119, 2020). </w:t>
      </w:r>
      <w:r w:rsidR="00E66E07" w:rsidRPr="00814BDF">
        <w:rPr>
          <w:sz w:val="24"/>
          <w:szCs w:val="24"/>
          <w:lang w:val="en-AU"/>
        </w:rPr>
        <w:t>Funding</w:t>
      </w:r>
      <w:r w:rsidRPr="00814BDF">
        <w:rPr>
          <w:sz w:val="24"/>
          <w:szCs w:val="24"/>
          <w:lang w:val="en-AU"/>
        </w:rPr>
        <w:t xml:space="preserve"> research into </w:t>
      </w:r>
      <w:r w:rsidR="001F0224" w:rsidRPr="00814BDF">
        <w:rPr>
          <w:sz w:val="24"/>
          <w:szCs w:val="24"/>
          <w:lang w:val="en-AU"/>
        </w:rPr>
        <w:t xml:space="preserve">carbon capture and storage </w:t>
      </w:r>
      <w:r w:rsidRPr="00814BDF">
        <w:rPr>
          <w:sz w:val="24"/>
          <w:szCs w:val="24"/>
          <w:lang w:val="en-AU"/>
        </w:rPr>
        <w:t>will require an expansion of the CEFC and ARENA mandates</w:t>
      </w:r>
      <w:r w:rsidR="001F0224" w:rsidRPr="00814BDF">
        <w:rPr>
          <w:sz w:val="24"/>
          <w:szCs w:val="24"/>
          <w:lang w:val="en-AU"/>
        </w:rPr>
        <w:t xml:space="preserve"> </w:t>
      </w:r>
      <w:r w:rsidR="00E66E07" w:rsidRPr="00814BDF">
        <w:rPr>
          <w:sz w:val="24"/>
          <w:szCs w:val="24"/>
          <w:lang w:val="en-AU"/>
        </w:rPr>
        <w:t>(Technology Investment Roadmap, 2020)</w:t>
      </w:r>
      <w:r w:rsidRPr="00814BDF">
        <w:rPr>
          <w:sz w:val="24"/>
          <w:szCs w:val="24"/>
          <w:lang w:val="en-AU"/>
        </w:rPr>
        <w:t xml:space="preserve">. </w:t>
      </w:r>
      <w:r w:rsidR="00E66E07" w:rsidRPr="00814BDF">
        <w:rPr>
          <w:sz w:val="24"/>
          <w:szCs w:val="24"/>
          <w:lang w:val="en-AU"/>
        </w:rPr>
        <w:t>Indeed, the Clean Energy Finance Corporation (CEFC) will expand its investment mandate by removing the requirement to ensure that half of its investments are in renewable energy (Budget Paper No.2, p.119, 2020).</w:t>
      </w:r>
    </w:p>
    <w:p w14:paraId="48D6D9DD" w14:textId="308418D8" w:rsidR="00AB0A29" w:rsidRPr="00814BDF" w:rsidRDefault="00AB0A29" w:rsidP="00AB0A29">
      <w:pPr>
        <w:pStyle w:val="CommentText"/>
        <w:jc w:val="both"/>
        <w:rPr>
          <w:sz w:val="24"/>
          <w:szCs w:val="24"/>
          <w:lang w:val="en-AU"/>
        </w:rPr>
      </w:pPr>
      <w:r w:rsidRPr="00814BDF">
        <w:rPr>
          <w:sz w:val="24"/>
          <w:szCs w:val="24"/>
          <w:lang w:val="en-AU"/>
        </w:rPr>
        <w:t xml:space="preserve">A previously announced $74.5 million over four years has been allocated to create a Future Fuels Fund (Budget Paper No.2, p.118, 2020), supporting the uptake of hydrogen, electric, and bio-fuelled vehicles.  </w:t>
      </w:r>
    </w:p>
    <w:p w14:paraId="2E98A9EF" w14:textId="768B8864" w:rsidR="00AB0A29" w:rsidRPr="00814BDF" w:rsidRDefault="00AB0A29" w:rsidP="00AB0A29">
      <w:pPr>
        <w:pStyle w:val="CommentText"/>
        <w:jc w:val="both"/>
        <w:rPr>
          <w:sz w:val="24"/>
          <w:szCs w:val="24"/>
          <w:lang w:val="en-AU"/>
        </w:rPr>
      </w:pPr>
      <w:r w:rsidRPr="00814BDF">
        <w:rPr>
          <w:sz w:val="24"/>
          <w:szCs w:val="24"/>
          <w:lang w:val="en-AU"/>
        </w:rPr>
        <w:t>Other allocations include a $95.4 million Technology Co-Investment Fund, to support a range of emission reduction and energy productivity measures across industry, freight, and agricultural businesses; $70.2 million to support the development of a regional hydrogen export hub; $67.1 million over six years to a new Regional and Remote Communities Reliability Fund to support the creation of new microgrids; and $52.2 million over five years to fund energy efficiency upgrades in the buildings and hotels sectors (Budget Paper No.2, p.118-119, 2020).</w:t>
      </w:r>
    </w:p>
    <w:p w14:paraId="299C78F6" w14:textId="77777777" w:rsidR="001F0224" w:rsidRPr="001B501A" w:rsidRDefault="001F0224" w:rsidP="001F0224">
      <w:pPr>
        <w:keepNext/>
        <w:spacing w:before="240" w:line="240" w:lineRule="auto"/>
        <w:outlineLvl w:val="4"/>
        <w:rPr>
          <w:rFonts w:ascii="Arial" w:eastAsia="Times New Roman" w:hAnsi="Arial" w:cs="Times New Roman"/>
          <w:color w:val="000000"/>
          <w:sz w:val="20"/>
          <w:szCs w:val="20"/>
          <w:lang w:val="en-AU" w:eastAsia="en-AU"/>
        </w:rPr>
      </w:pPr>
      <w:proofErr w:type="spellStart"/>
      <w:r w:rsidRPr="001B501A">
        <w:rPr>
          <w:rFonts w:ascii="Arial" w:eastAsia="Times New Roman" w:hAnsi="Arial" w:cs="Times New Roman"/>
          <w:b/>
          <w:color w:val="000000"/>
          <w:sz w:val="20"/>
          <w:szCs w:val="20"/>
          <w:lang w:val="en-AU" w:eastAsia="en-AU"/>
        </w:rPr>
        <w:t>JobMaker</w:t>
      </w:r>
      <w:proofErr w:type="spellEnd"/>
      <w:r w:rsidRPr="001B501A">
        <w:rPr>
          <w:rFonts w:ascii="Arial" w:eastAsia="Times New Roman" w:hAnsi="Arial" w:cs="Times New Roman"/>
          <w:b/>
          <w:color w:val="000000"/>
          <w:sz w:val="20"/>
          <w:szCs w:val="20"/>
          <w:lang w:val="en-AU" w:eastAsia="en-AU"/>
        </w:rPr>
        <w:t xml:space="preserve"> Plan — invest</w:t>
      </w:r>
      <w:r w:rsidRPr="00814BDF">
        <w:rPr>
          <w:rFonts w:ascii="Arial" w:eastAsia="Times New Roman" w:hAnsi="Arial" w:cs="Times New Roman"/>
          <w:b/>
          <w:color w:val="000000"/>
          <w:sz w:val="20"/>
          <w:szCs w:val="20"/>
          <w:lang w:val="en-AU" w:eastAsia="en-AU"/>
        </w:rPr>
        <w:t>ment in new energy technologies</w:t>
      </w:r>
    </w:p>
    <w:p w14:paraId="72D93A60" w14:textId="77777777" w:rsidR="001F0224" w:rsidRPr="00814BDF" w:rsidRDefault="001F0224" w:rsidP="001F0224">
      <w:pPr>
        <w:spacing w:after="0"/>
        <w:rPr>
          <w:lang w:val="en-AU"/>
        </w:rPr>
      </w:pPr>
      <w:r w:rsidRPr="001B501A">
        <w:rPr>
          <w:rFonts w:ascii="Arial" w:hAnsi="Arial" w:cs="Arial"/>
          <w:color w:val="000000"/>
          <w:sz w:val="16"/>
          <w:szCs w:val="16"/>
          <w:lang w:val="en-AU"/>
        </w:rPr>
        <w:t>Payments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6"/>
        <w:gridCol w:w="804"/>
        <w:gridCol w:w="804"/>
        <w:gridCol w:w="804"/>
        <w:gridCol w:w="804"/>
      </w:tblGrid>
      <w:tr w:rsidR="001F0224" w:rsidRPr="00814BDF" w14:paraId="2D67297C" w14:textId="77777777" w:rsidTr="00512F10">
        <w:trPr>
          <w:trHeight w:val="20"/>
        </w:trPr>
        <w:tc>
          <w:tcPr>
            <w:tcW w:w="0" w:type="auto"/>
          </w:tcPr>
          <w:p w14:paraId="12A159E2" w14:textId="77777777" w:rsidR="001F0224" w:rsidRPr="00814BDF" w:rsidRDefault="001F0224" w:rsidP="00101E20">
            <w:pPr>
              <w:autoSpaceDE w:val="0"/>
              <w:autoSpaceDN w:val="0"/>
              <w:adjustRightInd w:val="0"/>
              <w:spacing w:after="0" w:line="240" w:lineRule="auto"/>
              <w:rPr>
                <w:rFonts w:ascii="Arial" w:hAnsi="Arial" w:cs="Arial"/>
                <w:color w:val="000000"/>
                <w:sz w:val="16"/>
                <w:szCs w:val="16"/>
                <w:lang w:val="en-AU"/>
              </w:rPr>
            </w:pPr>
          </w:p>
        </w:tc>
        <w:tc>
          <w:tcPr>
            <w:tcW w:w="0" w:type="auto"/>
            <w:vAlign w:val="center"/>
          </w:tcPr>
          <w:p w14:paraId="5301E0E2" w14:textId="77777777" w:rsidR="001F0224" w:rsidRPr="00814BDF"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2020-21 </w:t>
            </w:r>
          </w:p>
        </w:tc>
        <w:tc>
          <w:tcPr>
            <w:tcW w:w="0" w:type="auto"/>
            <w:vAlign w:val="center"/>
          </w:tcPr>
          <w:p w14:paraId="0A1D1745" w14:textId="77777777" w:rsidR="001F0224" w:rsidRPr="00814BDF"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2021-22 </w:t>
            </w:r>
          </w:p>
        </w:tc>
        <w:tc>
          <w:tcPr>
            <w:tcW w:w="0" w:type="auto"/>
            <w:vAlign w:val="center"/>
          </w:tcPr>
          <w:p w14:paraId="19126B64" w14:textId="77777777" w:rsidR="001F0224" w:rsidRPr="00814BDF"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2022-23 </w:t>
            </w:r>
          </w:p>
        </w:tc>
        <w:tc>
          <w:tcPr>
            <w:tcW w:w="0" w:type="auto"/>
            <w:vAlign w:val="center"/>
          </w:tcPr>
          <w:p w14:paraId="72AE8D14" w14:textId="77777777" w:rsidR="001F0224" w:rsidRPr="00814BDF"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2023-24 </w:t>
            </w:r>
          </w:p>
        </w:tc>
      </w:tr>
      <w:tr w:rsidR="001F0224" w:rsidRPr="001B501A" w14:paraId="12C3A848" w14:textId="77777777" w:rsidTr="00512F10">
        <w:trPr>
          <w:trHeight w:val="20"/>
        </w:trPr>
        <w:tc>
          <w:tcPr>
            <w:tcW w:w="0" w:type="auto"/>
            <w:vAlign w:val="center"/>
          </w:tcPr>
          <w:p w14:paraId="69AF3F34" w14:textId="77777777" w:rsidR="001F0224" w:rsidRPr="001B501A" w:rsidRDefault="001F0224" w:rsidP="00512F10">
            <w:pPr>
              <w:autoSpaceDE w:val="0"/>
              <w:autoSpaceDN w:val="0"/>
              <w:adjustRightInd w:val="0"/>
              <w:spacing w:after="0" w:line="240" w:lineRule="auto"/>
              <w:rPr>
                <w:rFonts w:ascii="Arial" w:hAnsi="Arial" w:cs="Arial"/>
                <w:color w:val="000000"/>
                <w:sz w:val="16"/>
                <w:szCs w:val="16"/>
                <w:lang w:val="en-AU"/>
              </w:rPr>
            </w:pPr>
            <w:r w:rsidRPr="001B501A">
              <w:rPr>
                <w:rFonts w:ascii="Arial" w:hAnsi="Arial" w:cs="Arial"/>
                <w:color w:val="000000"/>
                <w:sz w:val="16"/>
                <w:szCs w:val="16"/>
                <w:lang w:val="en-AU"/>
              </w:rPr>
              <w:t xml:space="preserve">Department of Industry, Science, Energy and Resources </w:t>
            </w:r>
          </w:p>
        </w:tc>
        <w:tc>
          <w:tcPr>
            <w:tcW w:w="0" w:type="auto"/>
            <w:vAlign w:val="center"/>
          </w:tcPr>
          <w:p w14:paraId="0318A0D6"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50.7 </w:t>
            </w:r>
          </w:p>
        </w:tc>
        <w:tc>
          <w:tcPr>
            <w:tcW w:w="0" w:type="auto"/>
            <w:vAlign w:val="center"/>
          </w:tcPr>
          <w:p w14:paraId="62DED748"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72.9 </w:t>
            </w:r>
          </w:p>
        </w:tc>
        <w:tc>
          <w:tcPr>
            <w:tcW w:w="0" w:type="auto"/>
            <w:vAlign w:val="center"/>
          </w:tcPr>
          <w:p w14:paraId="19F5BF13"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62.8 </w:t>
            </w:r>
          </w:p>
        </w:tc>
        <w:tc>
          <w:tcPr>
            <w:tcW w:w="0" w:type="auto"/>
            <w:vAlign w:val="center"/>
          </w:tcPr>
          <w:p w14:paraId="03B00530"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48.3 </w:t>
            </w:r>
          </w:p>
        </w:tc>
      </w:tr>
      <w:tr w:rsidR="001F0224" w:rsidRPr="001B501A" w14:paraId="70220A14" w14:textId="77777777" w:rsidTr="00512F10">
        <w:trPr>
          <w:trHeight w:val="20"/>
        </w:trPr>
        <w:tc>
          <w:tcPr>
            <w:tcW w:w="0" w:type="auto"/>
            <w:vAlign w:val="center"/>
          </w:tcPr>
          <w:p w14:paraId="771B7B37" w14:textId="77777777" w:rsidR="001F0224" w:rsidRPr="001B501A" w:rsidRDefault="001F0224" w:rsidP="00512F10">
            <w:pPr>
              <w:autoSpaceDE w:val="0"/>
              <w:autoSpaceDN w:val="0"/>
              <w:adjustRightInd w:val="0"/>
              <w:spacing w:after="0" w:line="240" w:lineRule="auto"/>
              <w:rPr>
                <w:rFonts w:ascii="Arial" w:hAnsi="Arial" w:cs="Arial"/>
                <w:color w:val="000000"/>
                <w:sz w:val="16"/>
                <w:szCs w:val="16"/>
                <w:lang w:val="en-AU"/>
              </w:rPr>
            </w:pPr>
            <w:r w:rsidRPr="001B501A">
              <w:rPr>
                <w:rFonts w:ascii="Arial" w:hAnsi="Arial" w:cs="Arial"/>
                <w:color w:val="000000"/>
                <w:sz w:val="16"/>
                <w:szCs w:val="16"/>
                <w:lang w:val="en-AU"/>
              </w:rPr>
              <w:t xml:space="preserve">Australian Renewable Energy Agency </w:t>
            </w:r>
          </w:p>
        </w:tc>
        <w:tc>
          <w:tcPr>
            <w:tcW w:w="0" w:type="auto"/>
            <w:vAlign w:val="center"/>
          </w:tcPr>
          <w:p w14:paraId="7452DB7F"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14.6 </w:t>
            </w:r>
          </w:p>
        </w:tc>
        <w:tc>
          <w:tcPr>
            <w:tcW w:w="0" w:type="auto"/>
            <w:vAlign w:val="center"/>
          </w:tcPr>
          <w:p w14:paraId="29BB9458"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51.2 </w:t>
            </w:r>
          </w:p>
        </w:tc>
        <w:tc>
          <w:tcPr>
            <w:tcW w:w="0" w:type="auto"/>
            <w:vAlign w:val="center"/>
          </w:tcPr>
          <w:p w14:paraId="1C36BB87"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167.0 </w:t>
            </w:r>
          </w:p>
        </w:tc>
        <w:tc>
          <w:tcPr>
            <w:tcW w:w="0" w:type="auto"/>
            <w:vAlign w:val="center"/>
          </w:tcPr>
          <w:p w14:paraId="7AC4EF6C"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145.5 </w:t>
            </w:r>
          </w:p>
        </w:tc>
      </w:tr>
      <w:tr w:rsidR="001F0224" w:rsidRPr="001B501A" w14:paraId="1E9BEF5E" w14:textId="77777777" w:rsidTr="00512F10">
        <w:trPr>
          <w:trHeight w:val="20"/>
        </w:trPr>
        <w:tc>
          <w:tcPr>
            <w:tcW w:w="0" w:type="auto"/>
            <w:vAlign w:val="center"/>
          </w:tcPr>
          <w:p w14:paraId="64E9873E" w14:textId="77777777" w:rsidR="001F0224" w:rsidRPr="001B501A" w:rsidRDefault="001F0224" w:rsidP="00512F10">
            <w:pPr>
              <w:autoSpaceDE w:val="0"/>
              <w:autoSpaceDN w:val="0"/>
              <w:adjustRightInd w:val="0"/>
              <w:spacing w:after="0" w:line="240" w:lineRule="auto"/>
              <w:rPr>
                <w:rFonts w:ascii="Arial" w:hAnsi="Arial" w:cs="Arial"/>
                <w:color w:val="000000"/>
                <w:sz w:val="16"/>
                <w:szCs w:val="16"/>
                <w:lang w:val="en-AU"/>
              </w:rPr>
            </w:pPr>
            <w:r w:rsidRPr="001B501A">
              <w:rPr>
                <w:rFonts w:ascii="Arial" w:hAnsi="Arial" w:cs="Arial"/>
                <w:color w:val="000000"/>
                <w:sz w:val="16"/>
                <w:szCs w:val="16"/>
                <w:lang w:val="en-AU"/>
              </w:rPr>
              <w:t xml:space="preserve">Department of the Treasury </w:t>
            </w:r>
          </w:p>
        </w:tc>
        <w:tc>
          <w:tcPr>
            <w:tcW w:w="0" w:type="auto"/>
            <w:vAlign w:val="center"/>
          </w:tcPr>
          <w:p w14:paraId="6DF6379A"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13.5 </w:t>
            </w:r>
          </w:p>
        </w:tc>
        <w:tc>
          <w:tcPr>
            <w:tcW w:w="0" w:type="auto"/>
            <w:vAlign w:val="center"/>
          </w:tcPr>
          <w:p w14:paraId="19C0063C"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 </w:t>
            </w:r>
          </w:p>
        </w:tc>
        <w:tc>
          <w:tcPr>
            <w:tcW w:w="0" w:type="auto"/>
            <w:vAlign w:val="center"/>
          </w:tcPr>
          <w:p w14:paraId="76BBE5DD"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 </w:t>
            </w:r>
          </w:p>
        </w:tc>
        <w:tc>
          <w:tcPr>
            <w:tcW w:w="0" w:type="auto"/>
            <w:vAlign w:val="center"/>
          </w:tcPr>
          <w:p w14:paraId="216E46B9"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 </w:t>
            </w:r>
          </w:p>
        </w:tc>
      </w:tr>
      <w:tr w:rsidR="001F0224" w:rsidRPr="001B501A" w14:paraId="0E03BDF8" w14:textId="77777777" w:rsidTr="00512F10">
        <w:trPr>
          <w:trHeight w:val="20"/>
        </w:trPr>
        <w:tc>
          <w:tcPr>
            <w:tcW w:w="0" w:type="auto"/>
            <w:vAlign w:val="center"/>
          </w:tcPr>
          <w:p w14:paraId="5F3A998D" w14:textId="63D4A67B" w:rsidR="001F0224" w:rsidRPr="001B501A" w:rsidRDefault="001F0224" w:rsidP="00512F10">
            <w:pPr>
              <w:autoSpaceDE w:val="0"/>
              <w:autoSpaceDN w:val="0"/>
              <w:adjustRightInd w:val="0"/>
              <w:spacing w:after="0" w:line="240" w:lineRule="auto"/>
              <w:rPr>
                <w:rFonts w:ascii="Arial" w:hAnsi="Arial" w:cs="Arial"/>
                <w:color w:val="000000"/>
                <w:sz w:val="16"/>
                <w:szCs w:val="16"/>
                <w:lang w:val="en-AU"/>
              </w:rPr>
            </w:pPr>
            <w:r w:rsidRPr="001B501A">
              <w:rPr>
                <w:rFonts w:ascii="Arial" w:hAnsi="Arial" w:cs="Arial"/>
                <w:color w:val="000000"/>
                <w:sz w:val="16"/>
                <w:szCs w:val="16"/>
                <w:lang w:val="en-AU"/>
              </w:rPr>
              <w:t>National Offshore Petroleum Safety and Environmental Management Authority</w:t>
            </w:r>
          </w:p>
        </w:tc>
        <w:tc>
          <w:tcPr>
            <w:tcW w:w="0" w:type="auto"/>
            <w:vAlign w:val="center"/>
          </w:tcPr>
          <w:p w14:paraId="66219D19"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0.7 </w:t>
            </w:r>
          </w:p>
        </w:tc>
        <w:tc>
          <w:tcPr>
            <w:tcW w:w="0" w:type="auto"/>
            <w:vAlign w:val="center"/>
          </w:tcPr>
          <w:p w14:paraId="3294B0FC"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0.7 </w:t>
            </w:r>
          </w:p>
        </w:tc>
        <w:tc>
          <w:tcPr>
            <w:tcW w:w="0" w:type="auto"/>
            <w:vAlign w:val="center"/>
          </w:tcPr>
          <w:p w14:paraId="0D56726A"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 </w:t>
            </w:r>
          </w:p>
        </w:tc>
        <w:tc>
          <w:tcPr>
            <w:tcW w:w="0" w:type="auto"/>
            <w:vAlign w:val="center"/>
          </w:tcPr>
          <w:p w14:paraId="48700F32"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 </w:t>
            </w:r>
          </w:p>
        </w:tc>
      </w:tr>
      <w:tr w:rsidR="001F0224" w:rsidRPr="001B501A" w14:paraId="3A8D1078" w14:textId="77777777" w:rsidTr="00512F10">
        <w:trPr>
          <w:trHeight w:val="20"/>
        </w:trPr>
        <w:tc>
          <w:tcPr>
            <w:tcW w:w="0" w:type="auto"/>
            <w:vAlign w:val="center"/>
          </w:tcPr>
          <w:p w14:paraId="409B8D8A" w14:textId="77777777" w:rsidR="001F0224" w:rsidRPr="001B501A" w:rsidRDefault="001F0224" w:rsidP="00512F10">
            <w:pPr>
              <w:autoSpaceDE w:val="0"/>
              <w:autoSpaceDN w:val="0"/>
              <w:adjustRightInd w:val="0"/>
              <w:spacing w:after="0" w:line="240" w:lineRule="auto"/>
              <w:rPr>
                <w:rFonts w:ascii="Arial" w:hAnsi="Arial" w:cs="Arial"/>
                <w:color w:val="000000"/>
                <w:sz w:val="16"/>
                <w:szCs w:val="16"/>
                <w:lang w:val="en-AU"/>
              </w:rPr>
            </w:pPr>
            <w:r w:rsidRPr="001B501A">
              <w:rPr>
                <w:rFonts w:ascii="Arial" w:hAnsi="Arial" w:cs="Arial"/>
                <w:color w:val="000000"/>
                <w:sz w:val="16"/>
                <w:szCs w:val="16"/>
                <w:lang w:val="en-AU"/>
              </w:rPr>
              <w:t xml:space="preserve">Geoscience Australia </w:t>
            </w:r>
          </w:p>
        </w:tc>
        <w:tc>
          <w:tcPr>
            <w:tcW w:w="0" w:type="auto"/>
            <w:vAlign w:val="center"/>
          </w:tcPr>
          <w:p w14:paraId="2A91B4AF"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0.2 </w:t>
            </w:r>
          </w:p>
        </w:tc>
        <w:tc>
          <w:tcPr>
            <w:tcW w:w="0" w:type="auto"/>
            <w:vAlign w:val="center"/>
          </w:tcPr>
          <w:p w14:paraId="32CD7757"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 </w:t>
            </w:r>
          </w:p>
        </w:tc>
        <w:tc>
          <w:tcPr>
            <w:tcW w:w="0" w:type="auto"/>
            <w:vAlign w:val="center"/>
          </w:tcPr>
          <w:p w14:paraId="0F680F50"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 </w:t>
            </w:r>
          </w:p>
        </w:tc>
        <w:tc>
          <w:tcPr>
            <w:tcW w:w="0" w:type="auto"/>
            <w:vAlign w:val="center"/>
          </w:tcPr>
          <w:p w14:paraId="26202736"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 </w:t>
            </w:r>
          </w:p>
        </w:tc>
      </w:tr>
      <w:tr w:rsidR="001F0224" w:rsidRPr="001B501A" w14:paraId="228AC6F6" w14:textId="77777777" w:rsidTr="00512F10">
        <w:trPr>
          <w:trHeight w:val="20"/>
        </w:trPr>
        <w:tc>
          <w:tcPr>
            <w:tcW w:w="0" w:type="auto"/>
            <w:vAlign w:val="center"/>
          </w:tcPr>
          <w:p w14:paraId="50BD9ADE" w14:textId="77777777" w:rsidR="001F0224" w:rsidRPr="001B501A" w:rsidRDefault="001F0224" w:rsidP="00512F10">
            <w:pPr>
              <w:autoSpaceDE w:val="0"/>
              <w:autoSpaceDN w:val="0"/>
              <w:adjustRightInd w:val="0"/>
              <w:spacing w:after="0" w:line="240" w:lineRule="auto"/>
              <w:rPr>
                <w:rFonts w:ascii="Arial" w:hAnsi="Arial" w:cs="Arial"/>
                <w:color w:val="000000"/>
                <w:sz w:val="16"/>
                <w:szCs w:val="16"/>
                <w:lang w:val="en-AU"/>
              </w:rPr>
            </w:pPr>
            <w:r w:rsidRPr="001B501A">
              <w:rPr>
                <w:rFonts w:ascii="Arial" w:hAnsi="Arial" w:cs="Arial"/>
                <w:color w:val="000000"/>
                <w:sz w:val="16"/>
                <w:szCs w:val="16"/>
                <w:lang w:val="en-AU"/>
              </w:rPr>
              <w:t xml:space="preserve">Clean Energy Finance Corporation </w:t>
            </w:r>
          </w:p>
        </w:tc>
        <w:tc>
          <w:tcPr>
            <w:tcW w:w="0" w:type="auto"/>
            <w:vAlign w:val="center"/>
          </w:tcPr>
          <w:p w14:paraId="14EB173C"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 </w:t>
            </w:r>
          </w:p>
        </w:tc>
        <w:tc>
          <w:tcPr>
            <w:tcW w:w="0" w:type="auto"/>
            <w:vAlign w:val="center"/>
          </w:tcPr>
          <w:p w14:paraId="19E71172"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 </w:t>
            </w:r>
          </w:p>
        </w:tc>
        <w:tc>
          <w:tcPr>
            <w:tcW w:w="0" w:type="auto"/>
            <w:vAlign w:val="center"/>
          </w:tcPr>
          <w:p w14:paraId="5095022D"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0.1 </w:t>
            </w:r>
          </w:p>
        </w:tc>
        <w:tc>
          <w:tcPr>
            <w:tcW w:w="0" w:type="auto"/>
            <w:vAlign w:val="center"/>
          </w:tcPr>
          <w:p w14:paraId="7F816849"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0.4 </w:t>
            </w:r>
          </w:p>
        </w:tc>
      </w:tr>
      <w:tr w:rsidR="001F0224" w:rsidRPr="001B501A" w14:paraId="475F4291" w14:textId="77777777" w:rsidTr="00512F10">
        <w:trPr>
          <w:trHeight w:val="20"/>
        </w:trPr>
        <w:tc>
          <w:tcPr>
            <w:tcW w:w="0" w:type="auto"/>
            <w:vAlign w:val="center"/>
          </w:tcPr>
          <w:p w14:paraId="40FF8A62" w14:textId="77777777" w:rsidR="001F0224" w:rsidRPr="001B501A" w:rsidRDefault="001F0224" w:rsidP="00512F10">
            <w:pPr>
              <w:autoSpaceDE w:val="0"/>
              <w:autoSpaceDN w:val="0"/>
              <w:adjustRightInd w:val="0"/>
              <w:spacing w:after="0" w:line="240" w:lineRule="auto"/>
              <w:rPr>
                <w:rFonts w:ascii="Arial" w:hAnsi="Arial" w:cs="Arial"/>
                <w:color w:val="000000"/>
                <w:sz w:val="16"/>
                <w:szCs w:val="16"/>
                <w:lang w:val="en-AU"/>
              </w:rPr>
            </w:pPr>
            <w:r w:rsidRPr="001B501A">
              <w:rPr>
                <w:rFonts w:ascii="Arial" w:hAnsi="Arial" w:cs="Arial"/>
                <w:color w:val="000000"/>
                <w:sz w:val="16"/>
                <w:szCs w:val="16"/>
                <w:lang w:val="en-AU"/>
              </w:rPr>
              <w:t xml:space="preserve">Clean Energy Regulator </w:t>
            </w:r>
          </w:p>
        </w:tc>
        <w:tc>
          <w:tcPr>
            <w:tcW w:w="0" w:type="auto"/>
            <w:vAlign w:val="center"/>
          </w:tcPr>
          <w:p w14:paraId="266CA23A"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-11.4 </w:t>
            </w:r>
          </w:p>
        </w:tc>
        <w:tc>
          <w:tcPr>
            <w:tcW w:w="0" w:type="auto"/>
            <w:vAlign w:val="center"/>
          </w:tcPr>
          <w:p w14:paraId="30984FA2"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-20.6 </w:t>
            </w:r>
          </w:p>
        </w:tc>
        <w:tc>
          <w:tcPr>
            <w:tcW w:w="0" w:type="auto"/>
            <w:vAlign w:val="center"/>
          </w:tcPr>
          <w:p w14:paraId="5E33B50B"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-31.5 </w:t>
            </w:r>
          </w:p>
        </w:tc>
        <w:tc>
          <w:tcPr>
            <w:tcW w:w="0" w:type="auto"/>
            <w:vAlign w:val="center"/>
          </w:tcPr>
          <w:p w14:paraId="00B553DF"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-22.8 </w:t>
            </w:r>
          </w:p>
        </w:tc>
      </w:tr>
      <w:tr w:rsidR="001F0224" w:rsidRPr="001B501A" w14:paraId="787ED2E2" w14:textId="77777777" w:rsidTr="00512F10">
        <w:trPr>
          <w:trHeight w:val="20"/>
        </w:trPr>
        <w:tc>
          <w:tcPr>
            <w:tcW w:w="0" w:type="auto"/>
            <w:vAlign w:val="center"/>
          </w:tcPr>
          <w:p w14:paraId="2C898321" w14:textId="77777777" w:rsidR="001F0224" w:rsidRPr="001B501A" w:rsidRDefault="001F0224" w:rsidP="00512F10">
            <w:pPr>
              <w:autoSpaceDE w:val="0"/>
              <w:autoSpaceDN w:val="0"/>
              <w:adjustRightInd w:val="0"/>
              <w:spacing w:after="0" w:line="240" w:lineRule="auto"/>
              <w:rPr>
                <w:rFonts w:ascii="Arial" w:hAnsi="Arial" w:cs="Arial"/>
                <w:color w:val="000000"/>
                <w:sz w:val="16"/>
                <w:szCs w:val="16"/>
                <w:lang w:val="en-AU"/>
              </w:rPr>
            </w:pPr>
            <w:r w:rsidRPr="001B501A">
              <w:rPr>
                <w:rFonts w:ascii="Arial" w:hAnsi="Arial" w:cs="Arial"/>
                <w:color w:val="000000"/>
                <w:sz w:val="16"/>
                <w:szCs w:val="16"/>
                <w:lang w:val="en-AU"/>
              </w:rPr>
              <w:t xml:space="preserve">Total — Payments </w:t>
            </w:r>
          </w:p>
        </w:tc>
        <w:tc>
          <w:tcPr>
            <w:tcW w:w="0" w:type="auto"/>
            <w:vAlign w:val="center"/>
          </w:tcPr>
          <w:p w14:paraId="32784EBF"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68.3 </w:t>
            </w:r>
          </w:p>
        </w:tc>
        <w:tc>
          <w:tcPr>
            <w:tcW w:w="0" w:type="auto"/>
            <w:vAlign w:val="center"/>
          </w:tcPr>
          <w:p w14:paraId="4C71D359"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104.1 </w:t>
            </w:r>
          </w:p>
        </w:tc>
        <w:tc>
          <w:tcPr>
            <w:tcW w:w="0" w:type="auto"/>
            <w:vAlign w:val="center"/>
          </w:tcPr>
          <w:p w14:paraId="45C5CEA1"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198.5 </w:t>
            </w:r>
          </w:p>
        </w:tc>
        <w:tc>
          <w:tcPr>
            <w:tcW w:w="0" w:type="auto"/>
            <w:vAlign w:val="center"/>
          </w:tcPr>
          <w:p w14:paraId="5094D366"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color w:val="000000"/>
                <w:sz w:val="16"/>
                <w:szCs w:val="16"/>
                <w:lang w:val="en-AU"/>
              </w:rPr>
              <w:t xml:space="preserve">171.4 </w:t>
            </w:r>
          </w:p>
        </w:tc>
      </w:tr>
      <w:tr w:rsidR="001F0224" w:rsidRPr="001B501A" w14:paraId="584BC5B4" w14:textId="77777777" w:rsidTr="00512F10">
        <w:trPr>
          <w:trHeight w:val="20"/>
        </w:trPr>
        <w:tc>
          <w:tcPr>
            <w:tcW w:w="0" w:type="auto"/>
            <w:gridSpan w:val="5"/>
            <w:vAlign w:val="center"/>
          </w:tcPr>
          <w:p w14:paraId="346D1858" w14:textId="77777777" w:rsidR="001F0224" w:rsidRPr="001B501A" w:rsidRDefault="001F0224" w:rsidP="00512F10">
            <w:pPr>
              <w:autoSpaceDE w:val="0"/>
              <w:autoSpaceDN w:val="0"/>
              <w:adjustRightInd w:val="0"/>
              <w:spacing w:after="0" w:line="240" w:lineRule="auto"/>
              <w:rPr>
                <w:rFonts w:ascii="Arial" w:hAnsi="Arial" w:cs="Arial"/>
                <w:color w:val="000000"/>
                <w:sz w:val="16"/>
                <w:szCs w:val="16"/>
                <w:lang w:val="en-AU"/>
              </w:rPr>
            </w:pPr>
            <w:r w:rsidRPr="001B501A">
              <w:rPr>
                <w:rFonts w:ascii="Arial" w:hAnsi="Arial" w:cs="Arial"/>
                <w:i/>
                <w:iCs/>
                <w:color w:val="000000"/>
                <w:sz w:val="16"/>
                <w:szCs w:val="16"/>
                <w:lang w:val="en-AU"/>
              </w:rPr>
              <w:t xml:space="preserve">Related receipts ($m) </w:t>
            </w:r>
          </w:p>
        </w:tc>
      </w:tr>
      <w:tr w:rsidR="001F0224" w:rsidRPr="001B501A" w14:paraId="00BF7DB3" w14:textId="77777777" w:rsidTr="00512F10">
        <w:trPr>
          <w:trHeight w:val="20"/>
        </w:trPr>
        <w:tc>
          <w:tcPr>
            <w:tcW w:w="0" w:type="auto"/>
            <w:vAlign w:val="center"/>
          </w:tcPr>
          <w:p w14:paraId="6DEC6D25" w14:textId="77777777" w:rsidR="001F0224" w:rsidRPr="001B501A" w:rsidRDefault="001F0224" w:rsidP="00512F10">
            <w:pPr>
              <w:autoSpaceDE w:val="0"/>
              <w:autoSpaceDN w:val="0"/>
              <w:adjustRightInd w:val="0"/>
              <w:spacing w:after="0" w:line="240" w:lineRule="auto"/>
              <w:rPr>
                <w:rFonts w:ascii="Arial" w:hAnsi="Arial" w:cs="Arial"/>
                <w:color w:val="000000"/>
                <w:sz w:val="16"/>
                <w:szCs w:val="16"/>
                <w:lang w:val="en-AU"/>
              </w:rPr>
            </w:pPr>
            <w:r w:rsidRPr="001B501A">
              <w:rPr>
                <w:rFonts w:ascii="Arial" w:hAnsi="Arial" w:cs="Arial"/>
                <w:i/>
                <w:iCs/>
                <w:color w:val="000000"/>
                <w:sz w:val="16"/>
                <w:szCs w:val="16"/>
                <w:lang w:val="en-AU"/>
              </w:rPr>
              <w:t xml:space="preserve">Clean Energy Finance Corporation </w:t>
            </w:r>
          </w:p>
        </w:tc>
        <w:tc>
          <w:tcPr>
            <w:tcW w:w="0" w:type="auto"/>
            <w:vAlign w:val="center"/>
          </w:tcPr>
          <w:p w14:paraId="22240DB8"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i/>
                <w:iCs/>
                <w:color w:val="000000"/>
                <w:sz w:val="16"/>
                <w:szCs w:val="16"/>
                <w:lang w:val="en-AU"/>
              </w:rPr>
              <w:t xml:space="preserve">- </w:t>
            </w:r>
          </w:p>
        </w:tc>
        <w:tc>
          <w:tcPr>
            <w:tcW w:w="0" w:type="auto"/>
            <w:vAlign w:val="center"/>
          </w:tcPr>
          <w:p w14:paraId="5C2F0743"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i/>
                <w:iCs/>
                <w:color w:val="000000"/>
                <w:sz w:val="16"/>
                <w:szCs w:val="16"/>
                <w:lang w:val="en-AU"/>
              </w:rPr>
              <w:t xml:space="preserve">- </w:t>
            </w:r>
          </w:p>
        </w:tc>
        <w:tc>
          <w:tcPr>
            <w:tcW w:w="0" w:type="auto"/>
            <w:vAlign w:val="center"/>
          </w:tcPr>
          <w:p w14:paraId="133670C1"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i/>
                <w:iCs/>
                <w:color w:val="000000"/>
                <w:sz w:val="16"/>
                <w:szCs w:val="16"/>
                <w:lang w:val="en-AU"/>
              </w:rPr>
              <w:t xml:space="preserve">1.3 </w:t>
            </w:r>
          </w:p>
        </w:tc>
        <w:tc>
          <w:tcPr>
            <w:tcW w:w="0" w:type="auto"/>
            <w:vAlign w:val="center"/>
          </w:tcPr>
          <w:p w14:paraId="2A9066AB"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i/>
                <w:iCs/>
                <w:color w:val="000000"/>
                <w:sz w:val="16"/>
                <w:szCs w:val="16"/>
                <w:lang w:val="en-AU"/>
              </w:rPr>
              <w:t xml:space="preserve">3.7 </w:t>
            </w:r>
          </w:p>
        </w:tc>
      </w:tr>
      <w:tr w:rsidR="001F0224" w:rsidRPr="001B501A" w14:paraId="224E4922" w14:textId="77777777" w:rsidTr="00512F10">
        <w:trPr>
          <w:trHeight w:val="20"/>
        </w:trPr>
        <w:tc>
          <w:tcPr>
            <w:tcW w:w="0" w:type="auto"/>
            <w:vAlign w:val="center"/>
          </w:tcPr>
          <w:p w14:paraId="4D45EBC2" w14:textId="77777777" w:rsidR="001F0224" w:rsidRPr="001B501A" w:rsidRDefault="001F0224" w:rsidP="00512F10">
            <w:pPr>
              <w:autoSpaceDE w:val="0"/>
              <w:autoSpaceDN w:val="0"/>
              <w:adjustRightInd w:val="0"/>
              <w:spacing w:after="0" w:line="240" w:lineRule="auto"/>
              <w:rPr>
                <w:rFonts w:ascii="Arial" w:hAnsi="Arial" w:cs="Arial"/>
                <w:color w:val="000000"/>
                <w:sz w:val="16"/>
                <w:szCs w:val="16"/>
                <w:lang w:val="en-AU"/>
              </w:rPr>
            </w:pPr>
            <w:r w:rsidRPr="001B501A">
              <w:rPr>
                <w:rFonts w:ascii="Arial" w:hAnsi="Arial" w:cs="Arial"/>
                <w:i/>
                <w:iCs/>
                <w:color w:val="000000"/>
                <w:sz w:val="16"/>
                <w:szCs w:val="16"/>
                <w:lang w:val="en-AU"/>
              </w:rPr>
              <w:t xml:space="preserve">Clean Energy Regulator </w:t>
            </w:r>
          </w:p>
        </w:tc>
        <w:tc>
          <w:tcPr>
            <w:tcW w:w="0" w:type="auto"/>
            <w:vAlign w:val="center"/>
          </w:tcPr>
          <w:p w14:paraId="0E724002"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i/>
                <w:iCs/>
                <w:color w:val="000000"/>
                <w:sz w:val="16"/>
                <w:szCs w:val="16"/>
                <w:lang w:val="en-AU"/>
              </w:rPr>
              <w:t xml:space="preserve">.. </w:t>
            </w:r>
          </w:p>
        </w:tc>
        <w:tc>
          <w:tcPr>
            <w:tcW w:w="0" w:type="auto"/>
            <w:vAlign w:val="center"/>
          </w:tcPr>
          <w:p w14:paraId="500E3317"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i/>
                <w:iCs/>
                <w:color w:val="000000"/>
                <w:sz w:val="16"/>
                <w:szCs w:val="16"/>
                <w:lang w:val="en-AU"/>
              </w:rPr>
              <w:t xml:space="preserve">.. </w:t>
            </w:r>
          </w:p>
        </w:tc>
        <w:tc>
          <w:tcPr>
            <w:tcW w:w="0" w:type="auto"/>
            <w:vAlign w:val="center"/>
          </w:tcPr>
          <w:p w14:paraId="4BCAD332"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i/>
                <w:iCs/>
                <w:color w:val="000000"/>
                <w:sz w:val="16"/>
                <w:szCs w:val="16"/>
                <w:lang w:val="en-AU"/>
              </w:rPr>
              <w:t xml:space="preserve">.. </w:t>
            </w:r>
          </w:p>
        </w:tc>
        <w:tc>
          <w:tcPr>
            <w:tcW w:w="0" w:type="auto"/>
            <w:vAlign w:val="center"/>
          </w:tcPr>
          <w:p w14:paraId="3F14F6D6"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i/>
                <w:iCs/>
                <w:color w:val="000000"/>
                <w:sz w:val="16"/>
                <w:szCs w:val="16"/>
                <w:lang w:val="en-AU"/>
              </w:rPr>
              <w:t xml:space="preserve">.. </w:t>
            </w:r>
          </w:p>
        </w:tc>
      </w:tr>
      <w:tr w:rsidR="001F0224" w:rsidRPr="001B501A" w14:paraId="352DC6DF" w14:textId="77777777" w:rsidTr="00512F10">
        <w:trPr>
          <w:trHeight w:val="20"/>
        </w:trPr>
        <w:tc>
          <w:tcPr>
            <w:tcW w:w="0" w:type="auto"/>
            <w:vAlign w:val="center"/>
          </w:tcPr>
          <w:p w14:paraId="30586B94" w14:textId="77777777" w:rsidR="001F0224" w:rsidRPr="001B501A" w:rsidRDefault="001F0224" w:rsidP="00512F10">
            <w:pPr>
              <w:autoSpaceDE w:val="0"/>
              <w:autoSpaceDN w:val="0"/>
              <w:adjustRightInd w:val="0"/>
              <w:spacing w:after="0" w:line="240" w:lineRule="auto"/>
              <w:rPr>
                <w:rFonts w:ascii="Arial" w:hAnsi="Arial" w:cs="Arial"/>
                <w:color w:val="000000"/>
                <w:sz w:val="16"/>
                <w:szCs w:val="16"/>
                <w:lang w:val="en-AU"/>
              </w:rPr>
            </w:pPr>
            <w:r w:rsidRPr="001B501A">
              <w:rPr>
                <w:rFonts w:ascii="Arial" w:hAnsi="Arial" w:cs="Arial"/>
                <w:i/>
                <w:iCs/>
                <w:color w:val="000000"/>
                <w:sz w:val="16"/>
                <w:szCs w:val="16"/>
                <w:lang w:val="en-AU"/>
              </w:rPr>
              <w:t xml:space="preserve">Total — Receipts </w:t>
            </w:r>
          </w:p>
        </w:tc>
        <w:tc>
          <w:tcPr>
            <w:tcW w:w="0" w:type="auto"/>
            <w:vAlign w:val="center"/>
          </w:tcPr>
          <w:p w14:paraId="4B23D885"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i/>
                <w:iCs/>
                <w:color w:val="000000"/>
                <w:sz w:val="16"/>
                <w:szCs w:val="16"/>
                <w:lang w:val="en-AU"/>
              </w:rPr>
              <w:t xml:space="preserve">.. </w:t>
            </w:r>
          </w:p>
        </w:tc>
        <w:tc>
          <w:tcPr>
            <w:tcW w:w="0" w:type="auto"/>
            <w:vAlign w:val="center"/>
          </w:tcPr>
          <w:p w14:paraId="3936324B"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i/>
                <w:iCs/>
                <w:color w:val="000000"/>
                <w:sz w:val="16"/>
                <w:szCs w:val="16"/>
                <w:lang w:val="en-AU"/>
              </w:rPr>
              <w:t xml:space="preserve">.. </w:t>
            </w:r>
          </w:p>
        </w:tc>
        <w:tc>
          <w:tcPr>
            <w:tcW w:w="0" w:type="auto"/>
            <w:vAlign w:val="center"/>
          </w:tcPr>
          <w:p w14:paraId="6F344820"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i/>
                <w:iCs/>
                <w:color w:val="000000"/>
                <w:sz w:val="16"/>
                <w:szCs w:val="16"/>
                <w:lang w:val="en-AU"/>
              </w:rPr>
              <w:t xml:space="preserve">1.3 </w:t>
            </w:r>
          </w:p>
        </w:tc>
        <w:tc>
          <w:tcPr>
            <w:tcW w:w="0" w:type="auto"/>
            <w:vAlign w:val="center"/>
          </w:tcPr>
          <w:p w14:paraId="43BFEE82" w14:textId="77777777" w:rsidR="001F0224" w:rsidRPr="001B501A" w:rsidRDefault="001F0224" w:rsidP="00512F10">
            <w:pPr>
              <w:autoSpaceDE w:val="0"/>
              <w:autoSpaceDN w:val="0"/>
              <w:adjustRightInd w:val="0"/>
              <w:spacing w:after="0" w:line="240" w:lineRule="auto"/>
              <w:jc w:val="right"/>
              <w:rPr>
                <w:rFonts w:ascii="Arial" w:hAnsi="Arial" w:cs="Arial"/>
                <w:color w:val="000000"/>
                <w:sz w:val="16"/>
                <w:szCs w:val="16"/>
                <w:lang w:val="en-AU"/>
              </w:rPr>
            </w:pPr>
            <w:r w:rsidRPr="001B501A">
              <w:rPr>
                <w:rFonts w:ascii="Arial" w:hAnsi="Arial" w:cs="Arial"/>
                <w:i/>
                <w:iCs/>
                <w:color w:val="000000"/>
                <w:sz w:val="16"/>
                <w:szCs w:val="16"/>
                <w:lang w:val="en-AU"/>
              </w:rPr>
              <w:t xml:space="preserve">3.7 </w:t>
            </w:r>
          </w:p>
        </w:tc>
      </w:tr>
    </w:tbl>
    <w:p w14:paraId="5DFE60CB" w14:textId="0DA2535B" w:rsidR="00F737A3" w:rsidRPr="00814BDF" w:rsidRDefault="001F0224" w:rsidP="00B155EE">
      <w:pPr>
        <w:pStyle w:val="CommentText"/>
        <w:jc w:val="both"/>
        <w:rPr>
          <w:sz w:val="24"/>
          <w:szCs w:val="24"/>
          <w:lang w:val="en-AU"/>
        </w:rPr>
      </w:pPr>
      <w:r w:rsidRPr="00814BDF">
        <w:rPr>
          <w:sz w:val="24"/>
          <w:szCs w:val="24"/>
          <w:lang w:val="en-AU"/>
        </w:rPr>
        <w:t xml:space="preserve">Source: </w:t>
      </w:r>
      <w:r w:rsidRPr="006579B3">
        <w:rPr>
          <w:sz w:val="20"/>
          <w:lang w:val="en-AU"/>
        </w:rPr>
        <w:t xml:space="preserve">Budget 2020-21, Budget Paper No. 2, p. 118: </w:t>
      </w:r>
      <w:proofErr w:type="spellStart"/>
      <w:r w:rsidRPr="006579B3">
        <w:rPr>
          <w:sz w:val="20"/>
          <w:lang w:val="en-AU"/>
        </w:rPr>
        <w:t>JobMaker</w:t>
      </w:r>
      <w:proofErr w:type="spellEnd"/>
      <w:r w:rsidRPr="006579B3">
        <w:rPr>
          <w:sz w:val="20"/>
          <w:lang w:val="en-AU"/>
        </w:rPr>
        <w:t xml:space="preserve"> Plan — investment in new energy technologies</w:t>
      </w:r>
      <w:r w:rsidR="006579B3">
        <w:rPr>
          <w:sz w:val="20"/>
          <w:lang w:val="en-AU"/>
        </w:rPr>
        <w:t>.</w:t>
      </w:r>
    </w:p>
    <w:p w14:paraId="0322B1B6" w14:textId="2DBA09EB" w:rsidR="00AB0A29" w:rsidRPr="00814BDF" w:rsidRDefault="00AB0A29" w:rsidP="006579B3">
      <w:pPr>
        <w:pStyle w:val="Heading3"/>
        <w:rPr>
          <w:lang w:val="en-AU"/>
        </w:rPr>
      </w:pPr>
      <w:r w:rsidRPr="00814BDF">
        <w:rPr>
          <w:lang w:val="en-AU"/>
        </w:rPr>
        <w:t>Improving energy affordability and reliability</w:t>
      </w:r>
    </w:p>
    <w:p w14:paraId="70BA0E97" w14:textId="52CAB094" w:rsidR="001F0224" w:rsidRPr="00814BDF" w:rsidRDefault="001F0224" w:rsidP="001F0224">
      <w:pPr>
        <w:pStyle w:val="CommentText"/>
        <w:jc w:val="both"/>
        <w:rPr>
          <w:sz w:val="24"/>
          <w:szCs w:val="24"/>
          <w:lang w:val="en-AU"/>
        </w:rPr>
      </w:pPr>
      <w:r w:rsidRPr="00814BDF">
        <w:rPr>
          <w:sz w:val="24"/>
          <w:szCs w:val="24"/>
          <w:lang w:val="en-AU"/>
        </w:rPr>
        <w:t xml:space="preserve">The budget has allocated $134.7 million over four years for a range of electricity infrastructure projects, including loans to progress the design of the Marinus Link interconnector, the construction of a Big Battery Project in Western Australia, funding for the </w:t>
      </w:r>
      <w:proofErr w:type="spellStart"/>
      <w:r w:rsidRPr="00814BDF">
        <w:rPr>
          <w:sz w:val="24"/>
          <w:szCs w:val="24"/>
          <w:lang w:val="en-AU"/>
        </w:rPr>
        <w:t>CopperString</w:t>
      </w:r>
      <w:proofErr w:type="spellEnd"/>
      <w:r w:rsidRPr="00814BDF">
        <w:rPr>
          <w:sz w:val="24"/>
          <w:szCs w:val="24"/>
          <w:lang w:val="en-AU"/>
        </w:rPr>
        <w:t xml:space="preserve"> 2.0 link between Townsville and Mount Isa, and an unspecified amount for upgrades to Delta Electricity’s Vales Point coal fired Power Station to reduce emissions, improve reliability and provide additional dispatchable generation in New South Wales (Budget Paper No.2, p.117, 2020).</w:t>
      </w:r>
    </w:p>
    <w:p w14:paraId="2D97E909" w14:textId="77777777" w:rsidR="001F0224" w:rsidRPr="00814BDF" w:rsidRDefault="001F0224" w:rsidP="006579B3">
      <w:pPr>
        <w:pStyle w:val="Heading3"/>
        <w:rPr>
          <w:lang w:val="en-AU"/>
        </w:rPr>
      </w:pPr>
      <w:r w:rsidRPr="00814BDF">
        <w:rPr>
          <w:lang w:val="en-AU"/>
        </w:rPr>
        <w:t>Investments in other energy initiatives</w:t>
      </w:r>
    </w:p>
    <w:p w14:paraId="37D3D9E8" w14:textId="643891B7" w:rsidR="001F0224" w:rsidRPr="00814BDF" w:rsidRDefault="00E66E07" w:rsidP="001F0224">
      <w:pPr>
        <w:pStyle w:val="CommentText"/>
        <w:rPr>
          <w:sz w:val="24"/>
          <w:szCs w:val="24"/>
          <w:lang w:val="en-AU"/>
        </w:rPr>
      </w:pPr>
      <w:r w:rsidRPr="00814BDF">
        <w:rPr>
          <w:sz w:val="24"/>
          <w:szCs w:val="24"/>
          <w:lang w:val="en-AU"/>
        </w:rPr>
        <w:t xml:space="preserve">To support a ‘gas-fired’ recovery, the Government announced a $52.9 million investment over four years to encourage the development of up to five new gas basins across Australia, </w:t>
      </w:r>
      <w:r w:rsidR="00512F10" w:rsidRPr="00814BDF">
        <w:rPr>
          <w:sz w:val="24"/>
          <w:szCs w:val="24"/>
          <w:lang w:val="en-AU"/>
        </w:rPr>
        <w:t>fund the CSIRO’s</w:t>
      </w:r>
      <w:r w:rsidRPr="00814BDF">
        <w:rPr>
          <w:sz w:val="24"/>
          <w:szCs w:val="24"/>
          <w:lang w:val="en-AU"/>
        </w:rPr>
        <w:t xml:space="preserve"> </w:t>
      </w:r>
      <w:r w:rsidR="00512F10" w:rsidRPr="00814BDF">
        <w:rPr>
          <w:sz w:val="24"/>
          <w:szCs w:val="24"/>
          <w:lang w:val="en-AU"/>
        </w:rPr>
        <w:t>Gas Industry Social and Environmental Research Alliance, and develop a National Gas Infrastructure Plan (Budget Paper No.2, p.116, 2020).</w:t>
      </w:r>
    </w:p>
    <w:p w14:paraId="0F070A7E" w14:textId="3B91606D" w:rsidR="001F0224" w:rsidRPr="00814BDF" w:rsidRDefault="001F0224" w:rsidP="001F0224">
      <w:pPr>
        <w:pStyle w:val="CommentText"/>
        <w:jc w:val="both"/>
        <w:rPr>
          <w:sz w:val="24"/>
          <w:szCs w:val="24"/>
          <w:lang w:val="en-AU"/>
        </w:rPr>
      </w:pPr>
      <w:r w:rsidRPr="00814BDF">
        <w:rPr>
          <w:sz w:val="24"/>
          <w:szCs w:val="24"/>
          <w:lang w:val="en-AU"/>
        </w:rPr>
        <w:t>The Government will also invest $250.7 million over 10 years from 2020-21 to hold a sovereign refining capability and increase our domestic storage capabilities to secure Australia’s liquid fuel security. This includes $203.7 million over four years to support the construction of new diesel fuel storage (Budget Paper No.2, p.121, 2020).</w:t>
      </w:r>
    </w:p>
    <w:p w14:paraId="5841FF5E" w14:textId="4C60B5EA" w:rsidR="00EB5575" w:rsidRPr="00814BDF" w:rsidRDefault="00EB5575" w:rsidP="006579B3">
      <w:pPr>
        <w:pStyle w:val="Heading1"/>
        <w:rPr>
          <w:lang w:val="en-AU"/>
        </w:rPr>
      </w:pPr>
      <w:r w:rsidRPr="00814BDF">
        <w:rPr>
          <w:lang w:val="en-AU"/>
        </w:rPr>
        <w:lastRenderedPageBreak/>
        <w:t>Gender implications</w:t>
      </w:r>
    </w:p>
    <w:p w14:paraId="76EE93CF" w14:textId="706571DF" w:rsidR="00EB5575" w:rsidRDefault="00EB5575" w:rsidP="006579B3">
      <w:pPr>
        <w:pStyle w:val="Heading2"/>
        <w:spacing w:before="0" w:after="120"/>
        <w:jc w:val="both"/>
        <w:rPr>
          <w:lang w:val="en-AU"/>
        </w:rPr>
      </w:pPr>
      <w:r w:rsidRPr="00814BDF">
        <w:rPr>
          <w:lang w:val="en-AU"/>
        </w:rPr>
        <w:t>Why is this an issue for women?</w:t>
      </w:r>
    </w:p>
    <w:p w14:paraId="4B0BB72E" w14:textId="24050E12" w:rsidR="00D6516F" w:rsidRDefault="00287E3A" w:rsidP="006579B3">
      <w:pPr>
        <w:spacing w:line="240" w:lineRule="auto"/>
        <w:contextualSpacing/>
        <w:jc w:val="both"/>
        <w:rPr>
          <w:sz w:val="24"/>
          <w:szCs w:val="24"/>
          <w:lang w:val="en-AU"/>
        </w:rPr>
      </w:pPr>
      <w:r w:rsidRPr="00814BDF">
        <w:rPr>
          <w:sz w:val="24"/>
          <w:szCs w:val="24"/>
          <w:lang w:val="en-AU"/>
        </w:rPr>
        <w:t xml:space="preserve">Women and men tend to have different views on climate change, with a greater proportion of women worry about global warming and supporting certain climate change mitigation policies than men (Ballew et al., 2018). </w:t>
      </w:r>
      <w:r w:rsidR="002C2DEC">
        <w:rPr>
          <w:sz w:val="24"/>
          <w:szCs w:val="24"/>
          <w:lang w:val="en-AU"/>
        </w:rPr>
        <w:t>Support for technology based solutions such as hydrogen is significantly higher amongst men than women (</w:t>
      </w:r>
      <w:hyperlink r:id="rId11" w:history="1">
        <w:r w:rsidR="002C2DEC" w:rsidRPr="002C2DEC">
          <w:rPr>
            <w:rStyle w:val="Hyperlink"/>
            <w:sz w:val="24"/>
            <w:szCs w:val="24"/>
            <w:lang w:val="en-AU"/>
          </w:rPr>
          <w:t>ARENA, 2018</w:t>
        </w:r>
      </w:hyperlink>
      <w:r w:rsidR="002C2DEC">
        <w:rPr>
          <w:sz w:val="24"/>
          <w:szCs w:val="24"/>
          <w:lang w:val="en-AU"/>
        </w:rPr>
        <w:t xml:space="preserve">). </w:t>
      </w:r>
      <w:r w:rsidRPr="00814BDF">
        <w:rPr>
          <w:sz w:val="24"/>
          <w:szCs w:val="24"/>
          <w:lang w:val="en-AU"/>
        </w:rPr>
        <w:t xml:space="preserve">Knowing this, perhaps it is no surprise that climate change policies don’t feature in this budget since the Expenditure Review Committee that makes important budget decisions was, until late June, </w:t>
      </w:r>
      <w:bookmarkStart w:id="2" w:name="_Hlk53470540"/>
      <w:r w:rsidR="0023120C">
        <w:rPr>
          <w:sz w:val="24"/>
          <w:szCs w:val="24"/>
          <w:lang w:val="en-AU"/>
        </w:rPr>
        <w:fldChar w:fldCharType="begin"/>
      </w:r>
      <w:r w:rsidR="0023120C">
        <w:rPr>
          <w:sz w:val="24"/>
          <w:szCs w:val="24"/>
          <w:lang w:val="en-AU"/>
        </w:rPr>
        <w:instrText xml:space="preserve"> HYPERLINK "https://www.abc.net.au/news/2020-10-10/credible-women-can-a-budget-shaped-by-male-leaders-fix-the-urge/12747268" </w:instrText>
      </w:r>
      <w:r w:rsidR="0023120C">
        <w:rPr>
          <w:sz w:val="24"/>
          <w:szCs w:val="24"/>
          <w:lang w:val="en-AU"/>
        </w:rPr>
        <w:fldChar w:fldCharType="separate"/>
      </w:r>
      <w:r w:rsidRPr="0023120C">
        <w:rPr>
          <w:rStyle w:val="Hyperlink"/>
          <w:sz w:val="24"/>
          <w:szCs w:val="24"/>
          <w:lang w:val="en-AU"/>
        </w:rPr>
        <w:t>an all-male panel</w:t>
      </w:r>
      <w:r w:rsidR="0023120C">
        <w:rPr>
          <w:sz w:val="24"/>
          <w:szCs w:val="24"/>
          <w:lang w:val="en-AU"/>
        </w:rPr>
        <w:fldChar w:fldCharType="end"/>
      </w:r>
      <w:bookmarkEnd w:id="2"/>
      <w:r w:rsidRPr="00814BDF">
        <w:rPr>
          <w:sz w:val="24"/>
          <w:szCs w:val="24"/>
          <w:lang w:val="en-AU"/>
        </w:rPr>
        <w:t xml:space="preserve">. </w:t>
      </w:r>
    </w:p>
    <w:p w14:paraId="6DAEAE87" w14:textId="77777777" w:rsidR="001E67A6" w:rsidRDefault="001E67A6" w:rsidP="006579B3">
      <w:pPr>
        <w:spacing w:line="240" w:lineRule="auto"/>
        <w:contextualSpacing/>
        <w:jc w:val="both"/>
        <w:rPr>
          <w:sz w:val="24"/>
          <w:szCs w:val="24"/>
          <w:lang w:val="en-AU"/>
        </w:rPr>
      </w:pPr>
    </w:p>
    <w:p w14:paraId="67B84C81" w14:textId="616A59A4" w:rsidR="00287E3A" w:rsidRDefault="00D6516F" w:rsidP="006579B3">
      <w:pPr>
        <w:spacing w:line="240" w:lineRule="auto"/>
        <w:contextualSpacing/>
        <w:jc w:val="both"/>
        <w:rPr>
          <w:sz w:val="24"/>
          <w:szCs w:val="24"/>
          <w:lang w:val="en-AU"/>
        </w:rPr>
      </w:pPr>
      <w:r>
        <w:rPr>
          <w:sz w:val="24"/>
          <w:szCs w:val="24"/>
          <w:lang w:val="en-AU"/>
        </w:rPr>
        <w:t xml:space="preserve">Women are also </w:t>
      </w:r>
      <w:hyperlink r:id="rId12" w:history="1">
        <w:r w:rsidRPr="0023120C">
          <w:rPr>
            <w:rStyle w:val="Hyperlink"/>
            <w:sz w:val="24"/>
            <w:szCs w:val="24"/>
            <w:lang w:val="en-AU"/>
          </w:rPr>
          <w:t>more likely than men to suffer the adverse health consequences</w:t>
        </w:r>
      </w:hyperlink>
      <w:r>
        <w:rPr>
          <w:sz w:val="24"/>
          <w:szCs w:val="24"/>
          <w:lang w:val="en-AU"/>
        </w:rPr>
        <w:t xml:space="preserve"> of extreme climate events (</w:t>
      </w:r>
      <w:hyperlink r:id="rId13" w:history="1">
        <w:r w:rsidRPr="00D6516F">
          <w:rPr>
            <w:rStyle w:val="Hyperlink"/>
            <w:sz w:val="24"/>
            <w:szCs w:val="24"/>
            <w:lang w:val="en-AU"/>
          </w:rPr>
          <w:t>WHO, 2011</w:t>
        </w:r>
      </w:hyperlink>
      <w:r>
        <w:rPr>
          <w:sz w:val="24"/>
          <w:szCs w:val="24"/>
          <w:lang w:val="en-AU"/>
        </w:rPr>
        <w:t xml:space="preserve">; see also </w:t>
      </w:r>
      <w:r w:rsidRPr="00D6516F">
        <w:rPr>
          <w:sz w:val="24"/>
          <w:szCs w:val="24"/>
          <w:lang w:val="en-AU"/>
        </w:rPr>
        <w:t>Disaster Risk Reduction, Management and Recovery</w:t>
      </w:r>
      <w:r>
        <w:rPr>
          <w:sz w:val="24"/>
          <w:szCs w:val="24"/>
          <w:lang w:val="en-AU"/>
        </w:rPr>
        <w:t xml:space="preserve"> Section). </w:t>
      </w:r>
      <w:r w:rsidR="00287E3A" w:rsidRPr="00814BDF">
        <w:rPr>
          <w:sz w:val="24"/>
          <w:szCs w:val="24"/>
          <w:lang w:val="en-AU"/>
        </w:rPr>
        <w:t>With climate change impacts disproportionally affecting women (</w:t>
      </w:r>
      <w:hyperlink r:id="rId14" w:history="1">
        <w:r w:rsidR="00287E3A" w:rsidRPr="00814BDF">
          <w:rPr>
            <w:rStyle w:val="Hyperlink"/>
            <w:sz w:val="24"/>
            <w:szCs w:val="24"/>
            <w:lang w:val="en-AU"/>
          </w:rPr>
          <w:t>UN Women, 2016</w:t>
        </w:r>
      </w:hyperlink>
      <w:r w:rsidR="00287E3A" w:rsidRPr="00814BDF">
        <w:rPr>
          <w:sz w:val="24"/>
          <w:szCs w:val="24"/>
          <w:lang w:val="en-AU"/>
        </w:rPr>
        <w:t xml:space="preserve">; </w:t>
      </w:r>
      <w:hyperlink r:id="rId15" w:history="1">
        <w:r w:rsidR="00287E3A" w:rsidRPr="00814BDF">
          <w:rPr>
            <w:rStyle w:val="Hyperlink"/>
            <w:sz w:val="24"/>
            <w:szCs w:val="24"/>
            <w:lang w:val="en-AU"/>
          </w:rPr>
          <w:t>IUCN, 2015</w:t>
        </w:r>
      </w:hyperlink>
      <w:r w:rsidR="00287E3A" w:rsidRPr="00814BDF">
        <w:rPr>
          <w:sz w:val="24"/>
          <w:szCs w:val="24"/>
          <w:lang w:val="en-AU"/>
        </w:rPr>
        <w:t>), failing to take action on climate change and emissions abatement can exacerbate gender inequality and reduce women’s ability to adapt.</w:t>
      </w:r>
      <w:r w:rsidR="0059328C">
        <w:rPr>
          <w:sz w:val="24"/>
          <w:szCs w:val="24"/>
          <w:lang w:val="en-AU"/>
        </w:rPr>
        <w:t xml:space="preserve"> </w:t>
      </w:r>
    </w:p>
    <w:p w14:paraId="47FDD84C" w14:textId="77777777" w:rsidR="001E67A6" w:rsidRDefault="001E67A6" w:rsidP="006579B3">
      <w:pPr>
        <w:spacing w:line="240" w:lineRule="auto"/>
        <w:contextualSpacing/>
        <w:jc w:val="both"/>
        <w:rPr>
          <w:sz w:val="24"/>
          <w:szCs w:val="24"/>
          <w:lang w:val="en-AU"/>
        </w:rPr>
      </w:pPr>
    </w:p>
    <w:p w14:paraId="4CC67220" w14:textId="320188CF" w:rsidR="00287E3A" w:rsidRDefault="0059328C" w:rsidP="006579B3">
      <w:pPr>
        <w:spacing w:line="240" w:lineRule="auto"/>
        <w:contextualSpacing/>
        <w:jc w:val="both"/>
        <w:rPr>
          <w:sz w:val="24"/>
          <w:szCs w:val="24"/>
          <w:lang w:val="en-AU"/>
        </w:rPr>
      </w:pPr>
      <w:r>
        <w:rPr>
          <w:sz w:val="24"/>
          <w:szCs w:val="24"/>
          <w:lang w:val="en-AU"/>
        </w:rPr>
        <w:t>Efforts to increase energy affordability should be lauded. Access to affordable and reliable energy can have transformative effects for women and families. Being able to afford and acquire electricity increases time for children to study, and enables use of electronics such as mobile phones and heating, which can improve health conditions and quality of life – particularly important to single parents and women fleeing domestic violence situations.</w:t>
      </w:r>
    </w:p>
    <w:p w14:paraId="4E2B21B0" w14:textId="0F6E97E4" w:rsidR="00287E3A" w:rsidRDefault="00287E3A" w:rsidP="006579B3">
      <w:pPr>
        <w:spacing w:line="240" w:lineRule="auto"/>
        <w:jc w:val="both"/>
        <w:rPr>
          <w:lang w:val="en-AU"/>
        </w:rPr>
      </w:pPr>
    </w:p>
    <w:p w14:paraId="03421AFA" w14:textId="00F0172B" w:rsidR="001E67A6" w:rsidRPr="006579B3" w:rsidRDefault="00EB5575" w:rsidP="006579B3">
      <w:pPr>
        <w:pStyle w:val="Heading2"/>
        <w:rPr>
          <w:lang w:val="en-AU"/>
        </w:rPr>
      </w:pPr>
      <w:r w:rsidRPr="00814BDF">
        <w:rPr>
          <w:lang w:val="en-AU"/>
        </w:rPr>
        <w:t>What are the 2020 Budget impacts on women?</w:t>
      </w:r>
    </w:p>
    <w:p w14:paraId="63CC8423" w14:textId="1A119CAC" w:rsidR="0059328C" w:rsidRDefault="009A3F05" w:rsidP="006579B3">
      <w:pPr>
        <w:spacing w:line="240" w:lineRule="auto"/>
        <w:contextualSpacing/>
        <w:jc w:val="both"/>
        <w:rPr>
          <w:sz w:val="24"/>
          <w:szCs w:val="24"/>
          <w:lang w:val="en-AU"/>
        </w:rPr>
      </w:pPr>
      <w:r w:rsidRPr="00814BDF">
        <w:rPr>
          <w:sz w:val="24"/>
          <w:szCs w:val="24"/>
          <w:lang w:val="en-AU"/>
        </w:rPr>
        <w:t xml:space="preserve">The Government’s 2020-21 budget delivers a substantial amount of </w:t>
      </w:r>
      <w:r w:rsidR="00456775" w:rsidRPr="00456775">
        <w:rPr>
          <w:sz w:val="24"/>
          <w:szCs w:val="24"/>
          <w:lang w:val="en-AU"/>
        </w:rPr>
        <w:t xml:space="preserve">stimulus </w:t>
      </w:r>
      <w:r w:rsidRPr="00814BDF">
        <w:rPr>
          <w:sz w:val="24"/>
          <w:szCs w:val="24"/>
          <w:lang w:val="en-AU"/>
        </w:rPr>
        <w:t xml:space="preserve">funding for </w:t>
      </w:r>
      <w:r w:rsidR="0059328C">
        <w:rPr>
          <w:sz w:val="24"/>
          <w:szCs w:val="24"/>
          <w:lang w:val="en-AU"/>
        </w:rPr>
        <w:t xml:space="preserve">traditionally </w:t>
      </w:r>
      <w:r w:rsidRPr="00814BDF">
        <w:rPr>
          <w:sz w:val="24"/>
          <w:szCs w:val="24"/>
          <w:lang w:val="en-AU"/>
        </w:rPr>
        <w:t>male-dominated</w:t>
      </w:r>
      <w:r w:rsidR="00456775">
        <w:rPr>
          <w:sz w:val="24"/>
          <w:szCs w:val="24"/>
          <w:lang w:val="en-AU"/>
        </w:rPr>
        <w:t xml:space="preserve"> industries such as the construction</w:t>
      </w:r>
      <w:r w:rsidR="0059328C">
        <w:rPr>
          <w:sz w:val="24"/>
          <w:szCs w:val="24"/>
          <w:lang w:val="en-AU"/>
        </w:rPr>
        <w:t xml:space="preserve">, infrastructure, </w:t>
      </w:r>
      <w:r w:rsidRPr="00814BDF">
        <w:rPr>
          <w:sz w:val="24"/>
          <w:szCs w:val="24"/>
          <w:lang w:val="en-AU"/>
        </w:rPr>
        <w:t xml:space="preserve">energy and resources </w:t>
      </w:r>
      <w:r w:rsidR="00456775">
        <w:rPr>
          <w:sz w:val="24"/>
          <w:szCs w:val="24"/>
          <w:lang w:val="en-AU"/>
        </w:rPr>
        <w:t>sectors</w:t>
      </w:r>
      <w:r w:rsidR="0059328C">
        <w:rPr>
          <w:sz w:val="24"/>
          <w:szCs w:val="24"/>
          <w:lang w:val="en-AU"/>
        </w:rPr>
        <w:t xml:space="preserve"> (see also Infrastructure section)</w:t>
      </w:r>
      <w:r w:rsidRPr="00814BDF">
        <w:rPr>
          <w:sz w:val="24"/>
          <w:szCs w:val="24"/>
          <w:lang w:val="en-AU"/>
        </w:rPr>
        <w:t xml:space="preserve">. </w:t>
      </w:r>
      <w:r w:rsidR="00456775">
        <w:rPr>
          <w:sz w:val="24"/>
          <w:szCs w:val="24"/>
          <w:lang w:val="en-AU"/>
        </w:rPr>
        <w:t>These budget measures are unlikely reach women’s employment, which was hardest hit by COVID and the subsequent recession. Women</w:t>
      </w:r>
      <w:r w:rsidRPr="00814BDF">
        <w:rPr>
          <w:sz w:val="24"/>
          <w:szCs w:val="24"/>
          <w:lang w:val="en-AU"/>
        </w:rPr>
        <w:t xml:space="preserve"> only represent 22 per cent of the </w:t>
      </w:r>
      <w:r w:rsidRPr="001E67A6">
        <w:rPr>
          <w:sz w:val="24"/>
          <w:szCs w:val="24"/>
          <w:lang w:val="en-AU"/>
        </w:rPr>
        <w:t xml:space="preserve">workforce in the oil and gas industry—heavily supported </w:t>
      </w:r>
      <w:r w:rsidR="00456775" w:rsidRPr="001E67A6">
        <w:rPr>
          <w:sz w:val="24"/>
          <w:szCs w:val="24"/>
          <w:lang w:val="en-AU"/>
        </w:rPr>
        <w:t>through</w:t>
      </w:r>
      <w:r w:rsidRPr="001E67A6">
        <w:rPr>
          <w:sz w:val="24"/>
          <w:szCs w:val="24"/>
          <w:lang w:val="en-AU"/>
        </w:rPr>
        <w:t xml:space="preserve"> this budget (IRENA, 2019). The renewable energy sector</w:t>
      </w:r>
      <w:r w:rsidR="00456775" w:rsidRPr="001E67A6">
        <w:rPr>
          <w:sz w:val="24"/>
          <w:szCs w:val="24"/>
          <w:lang w:val="en-AU"/>
        </w:rPr>
        <w:t>, on the other hand,</w:t>
      </w:r>
      <w:r w:rsidRPr="001E67A6">
        <w:rPr>
          <w:sz w:val="24"/>
          <w:szCs w:val="24"/>
          <w:lang w:val="en-AU"/>
        </w:rPr>
        <w:t xml:space="preserve"> </w:t>
      </w:r>
      <w:hyperlink r:id="rId16" w:history="1">
        <w:r w:rsidRPr="001E67A6">
          <w:rPr>
            <w:rStyle w:val="Hyperlink"/>
            <w:sz w:val="24"/>
            <w:szCs w:val="24"/>
            <w:lang w:val="en-AU"/>
          </w:rPr>
          <w:t>has a significantly higher female workforce</w:t>
        </w:r>
      </w:hyperlink>
      <w:r w:rsidRPr="001E67A6">
        <w:rPr>
          <w:sz w:val="24"/>
          <w:szCs w:val="24"/>
          <w:lang w:val="en-AU"/>
        </w:rPr>
        <w:t xml:space="preserve"> (32 per cent) but </w:t>
      </w:r>
      <w:r w:rsidR="00456775" w:rsidRPr="001E67A6">
        <w:rPr>
          <w:sz w:val="24"/>
          <w:szCs w:val="24"/>
          <w:lang w:val="en-AU"/>
        </w:rPr>
        <w:t xml:space="preserve">stimulus for this sector is </w:t>
      </w:r>
      <w:r w:rsidRPr="001E67A6">
        <w:rPr>
          <w:sz w:val="24"/>
          <w:szCs w:val="24"/>
          <w:lang w:val="en-AU"/>
        </w:rPr>
        <w:t>dwarfed by funding for petrol storage and refining, and a continued push for gas.</w:t>
      </w:r>
      <w:r w:rsidRPr="00814BDF">
        <w:rPr>
          <w:sz w:val="24"/>
          <w:szCs w:val="24"/>
          <w:lang w:val="en-AU"/>
        </w:rPr>
        <w:t xml:space="preserve"> </w:t>
      </w:r>
    </w:p>
    <w:p w14:paraId="30B440A3" w14:textId="77777777" w:rsidR="001E67A6" w:rsidRDefault="001E67A6" w:rsidP="006579B3">
      <w:pPr>
        <w:spacing w:line="240" w:lineRule="auto"/>
        <w:contextualSpacing/>
        <w:jc w:val="both"/>
        <w:rPr>
          <w:sz w:val="24"/>
          <w:szCs w:val="24"/>
          <w:lang w:val="en-AU"/>
        </w:rPr>
      </w:pPr>
    </w:p>
    <w:p w14:paraId="7365D687" w14:textId="15B58EB6" w:rsidR="009A3F05" w:rsidRDefault="00456775" w:rsidP="006579B3">
      <w:pPr>
        <w:spacing w:line="240" w:lineRule="auto"/>
        <w:contextualSpacing/>
        <w:jc w:val="both"/>
        <w:rPr>
          <w:sz w:val="24"/>
          <w:szCs w:val="24"/>
          <w:lang w:val="en-AU"/>
        </w:rPr>
      </w:pPr>
      <w:r>
        <w:rPr>
          <w:sz w:val="24"/>
          <w:szCs w:val="24"/>
          <w:lang w:val="en-AU"/>
        </w:rPr>
        <w:t>W</w:t>
      </w:r>
      <w:r w:rsidR="009A3F05" w:rsidRPr="00814BDF">
        <w:rPr>
          <w:sz w:val="24"/>
          <w:szCs w:val="24"/>
          <w:lang w:val="en-AU"/>
        </w:rPr>
        <w:t xml:space="preserve">omen may benefit from investments in </w:t>
      </w:r>
      <w:r w:rsidR="00414BA4" w:rsidRPr="00814BDF">
        <w:rPr>
          <w:sz w:val="24"/>
          <w:szCs w:val="24"/>
          <w:lang w:val="en-AU"/>
        </w:rPr>
        <w:t>apprentice- and trainee-ships</w:t>
      </w:r>
      <w:r>
        <w:rPr>
          <w:sz w:val="24"/>
          <w:szCs w:val="24"/>
          <w:lang w:val="en-AU"/>
        </w:rPr>
        <w:t xml:space="preserve"> (see Vocational Education and Training Section), however,</w:t>
      </w:r>
      <w:r w:rsidR="00414BA4" w:rsidRPr="00814BDF">
        <w:rPr>
          <w:sz w:val="24"/>
          <w:szCs w:val="24"/>
          <w:lang w:val="en-AU"/>
        </w:rPr>
        <w:t xml:space="preserve"> overcoming the gender gap in the resources and energy industries will require </w:t>
      </w:r>
      <w:r>
        <w:rPr>
          <w:sz w:val="24"/>
          <w:szCs w:val="24"/>
          <w:lang w:val="en-AU"/>
        </w:rPr>
        <w:t>much more</w:t>
      </w:r>
      <w:r w:rsidR="00414BA4" w:rsidRPr="00814BDF">
        <w:rPr>
          <w:sz w:val="24"/>
          <w:szCs w:val="24"/>
          <w:lang w:val="en-AU"/>
        </w:rPr>
        <w:t xml:space="preserve"> policy support</w:t>
      </w:r>
      <w:r>
        <w:rPr>
          <w:sz w:val="24"/>
          <w:szCs w:val="24"/>
          <w:lang w:val="en-AU"/>
        </w:rPr>
        <w:t xml:space="preserve"> than currently allocated in the 2020-21 budget.</w:t>
      </w:r>
    </w:p>
    <w:p w14:paraId="71309789" w14:textId="77777777" w:rsidR="006579B3" w:rsidRPr="00814BDF" w:rsidRDefault="006579B3" w:rsidP="006579B3">
      <w:pPr>
        <w:spacing w:line="240" w:lineRule="auto"/>
        <w:contextualSpacing/>
        <w:jc w:val="both"/>
        <w:rPr>
          <w:sz w:val="24"/>
          <w:szCs w:val="24"/>
          <w:lang w:val="en-AU"/>
        </w:rPr>
      </w:pPr>
    </w:p>
    <w:p w14:paraId="15A420B4" w14:textId="6D9E2F5D" w:rsidR="00C8509C" w:rsidRDefault="008929D1" w:rsidP="006579B3">
      <w:pPr>
        <w:spacing w:line="240" w:lineRule="auto"/>
        <w:contextualSpacing/>
        <w:jc w:val="both"/>
        <w:rPr>
          <w:sz w:val="24"/>
          <w:szCs w:val="24"/>
          <w:lang w:val="en-AU"/>
        </w:rPr>
      </w:pPr>
      <w:r w:rsidRPr="00814BDF">
        <w:rPr>
          <w:sz w:val="24"/>
          <w:szCs w:val="24"/>
          <w:lang w:val="en-AU"/>
        </w:rPr>
        <w:t>The COVID19-</w:t>
      </w:r>
      <w:r w:rsidRPr="008929D1">
        <w:rPr>
          <w:sz w:val="24"/>
          <w:szCs w:val="24"/>
          <w:lang w:val="en-AU"/>
        </w:rPr>
        <w:t xml:space="preserve"> </w:t>
      </w:r>
      <w:r>
        <w:rPr>
          <w:sz w:val="24"/>
          <w:szCs w:val="24"/>
          <w:lang w:val="en-AU"/>
        </w:rPr>
        <w:t>provoked</w:t>
      </w:r>
      <w:r w:rsidRPr="00814BDF">
        <w:rPr>
          <w:sz w:val="24"/>
          <w:szCs w:val="24"/>
          <w:lang w:val="en-AU"/>
        </w:rPr>
        <w:t xml:space="preserve"> economic stimulus package has completely dwarfed the climate crisis that many regions in Australia were directly (and catastrophically) confronted with in the summer of 2019-20. </w:t>
      </w:r>
      <w:r w:rsidR="009A3F05" w:rsidRPr="00814BDF">
        <w:rPr>
          <w:sz w:val="24"/>
          <w:szCs w:val="24"/>
          <w:lang w:val="en-AU"/>
        </w:rPr>
        <w:t xml:space="preserve">The budget contains little by way of new funding to support direct climate change mitigation measures such as incentives to promote the uptake of electric vehicles or support the development of charging infrastructure. </w:t>
      </w:r>
      <w:r w:rsidR="00414BA4" w:rsidRPr="00814BDF">
        <w:rPr>
          <w:sz w:val="24"/>
          <w:szCs w:val="24"/>
          <w:lang w:val="en-AU"/>
        </w:rPr>
        <w:t xml:space="preserve">The meagre spending on </w:t>
      </w:r>
      <w:r w:rsidR="00C03E8E" w:rsidRPr="00814BDF">
        <w:rPr>
          <w:sz w:val="24"/>
          <w:szCs w:val="24"/>
          <w:lang w:val="en-AU"/>
        </w:rPr>
        <w:t xml:space="preserve">renewable energy and emission reduction strategies puts Australia </w:t>
      </w:r>
      <w:r>
        <w:rPr>
          <w:sz w:val="24"/>
          <w:szCs w:val="24"/>
          <w:lang w:val="en-AU"/>
        </w:rPr>
        <w:t>behind our international peers.</w:t>
      </w:r>
    </w:p>
    <w:p w14:paraId="510B94E4" w14:textId="77777777" w:rsidR="00287E3A" w:rsidRPr="00814BDF" w:rsidRDefault="00287E3A" w:rsidP="006579B3">
      <w:pPr>
        <w:spacing w:line="240" w:lineRule="auto"/>
        <w:contextualSpacing/>
        <w:jc w:val="both"/>
        <w:rPr>
          <w:sz w:val="24"/>
          <w:szCs w:val="24"/>
          <w:lang w:val="en-AU"/>
        </w:rPr>
      </w:pPr>
    </w:p>
    <w:p w14:paraId="6A830C05" w14:textId="61C0DAF9" w:rsidR="00EB5575" w:rsidRDefault="00EB5575" w:rsidP="006579B3">
      <w:pPr>
        <w:pStyle w:val="Heading1"/>
        <w:rPr>
          <w:lang w:val="en-AU"/>
        </w:rPr>
      </w:pPr>
      <w:r w:rsidRPr="00814BDF">
        <w:rPr>
          <w:lang w:val="en-AU"/>
        </w:rPr>
        <w:lastRenderedPageBreak/>
        <w:t>Recommendations</w:t>
      </w:r>
    </w:p>
    <w:p w14:paraId="3E9D5AF3" w14:textId="77777777" w:rsidR="001E67A6" w:rsidRPr="001E67A6" w:rsidRDefault="001E67A6" w:rsidP="006579B3">
      <w:pPr>
        <w:spacing w:line="240" w:lineRule="auto"/>
        <w:jc w:val="both"/>
        <w:rPr>
          <w:lang w:val="en-AU"/>
        </w:rPr>
      </w:pPr>
    </w:p>
    <w:p w14:paraId="5411357C" w14:textId="18E48049" w:rsidR="008929D1" w:rsidRDefault="008929D1" w:rsidP="006579B3">
      <w:pPr>
        <w:pStyle w:val="ListParagraph"/>
        <w:numPr>
          <w:ilvl w:val="0"/>
          <w:numId w:val="26"/>
        </w:numPr>
        <w:spacing w:line="240" w:lineRule="auto"/>
        <w:jc w:val="both"/>
        <w:rPr>
          <w:sz w:val="24"/>
          <w:szCs w:val="24"/>
          <w:lang w:val="en-AU"/>
        </w:rPr>
      </w:pPr>
      <w:r>
        <w:rPr>
          <w:sz w:val="24"/>
          <w:szCs w:val="24"/>
          <w:lang w:val="en-AU"/>
        </w:rPr>
        <w:t xml:space="preserve">NFAW recommends that the governments targets a ‘green recovery’ and diverts </w:t>
      </w:r>
      <w:r w:rsidRPr="0023120C">
        <w:rPr>
          <w:sz w:val="24"/>
          <w:szCs w:val="24"/>
          <w:lang w:val="en-AU"/>
        </w:rPr>
        <w:t xml:space="preserve">investments from fossil fuels and </w:t>
      </w:r>
      <w:r>
        <w:rPr>
          <w:sz w:val="24"/>
          <w:szCs w:val="24"/>
          <w:lang w:val="en-AU"/>
        </w:rPr>
        <w:t xml:space="preserve">the </w:t>
      </w:r>
      <w:r w:rsidRPr="0023120C">
        <w:rPr>
          <w:sz w:val="24"/>
          <w:szCs w:val="24"/>
          <w:lang w:val="en-AU"/>
        </w:rPr>
        <w:t xml:space="preserve">resources industry to </w:t>
      </w:r>
      <w:r>
        <w:rPr>
          <w:sz w:val="24"/>
          <w:szCs w:val="24"/>
          <w:lang w:val="en-AU"/>
        </w:rPr>
        <w:t xml:space="preserve">developing and incentivising an increased </w:t>
      </w:r>
      <w:r w:rsidRPr="0023120C">
        <w:rPr>
          <w:sz w:val="24"/>
          <w:szCs w:val="24"/>
          <w:lang w:val="en-AU"/>
        </w:rPr>
        <w:t>uptake of renewable energy technologies</w:t>
      </w:r>
      <w:r>
        <w:rPr>
          <w:sz w:val="24"/>
          <w:szCs w:val="24"/>
          <w:lang w:val="en-AU"/>
        </w:rPr>
        <w:t>.</w:t>
      </w:r>
    </w:p>
    <w:p w14:paraId="111A2F3D" w14:textId="77777777" w:rsidR="008929D1" w:rsidRPr="008929D1" w:rsidRDefault="008929D1" w:rsidP="006579B3">
      <w:pPr>
        <w:pStyle w:val="ListParagraph"/>
        <w:spacing w:line="240" w:lineRule="auto"/>
        <w:ind w:left="360"/>
        <w:jc w:val="both"/>
        <w:rPr>
          <w:sz w:val="24"/>
          <w:szCs w:val="24"/>
          <w:lang w:val="en-AU"/>
        </w:rPr>
      </w:pPr>
    </w:p>
    <w:p w14:paraId="18769685" w14:textId="1B68FD2F" w:rsidR="008929D1" w:rsidRDefault="008929D1" w:rsidP="006579B3">
      <w:pPr>
        <w:pStyle w:val="ListParagraph"/>
        <w:numPr>
          <w:ilvl w:val="0"/>
          <w:numId w:val="26"/>
        </w:numPr>
        <w:spacing w:line="240" w:lineRule="auto"/>
        <w:jc w:val="both"/>
        <w:rPr>
          <w:sz w:val="24"/>
          <w:szCs w:val="24"/>
          <w:lang w:val="en-AU"/>
        </w:rPr>
      </w:pPr>
      <w:r>
        <w:rPr>
          <w:sz w:val="24"/>
          <w:szCs w:val="24"/>
          <w:lang w:val="en-AU"/>
        </w:rPr>
        <w:t xml:space="preserve">NFAW recommends that budget stimulus measures target </w:t>
      </w:r>
      <w:r w:rsidR="005B3E38">
        <w:rPr>
          <w:sz w:val="24"/>
          <w:szCs w:val="24"/>
          <w:lang w:val="en-AU"/>
        </w:rPr>
        <w:t>solutions</w:t>
      </w:r>
      <w:r>
        <w:rPr>
          <w:sz w:val="24"/>
          <w:szCs w:val="24"/>
          <w:lang w:val="en-AU"/>
        </w:rPr>
        <w:t xml:space="preserve"> that provide win-win </w:t>
      </w:r>
      <w:r w:rsidR="005B3E38">
        <w:rPr>
          <w:sz w:val="24"/>
          <w:szCs w:val="24"/>
          <w:lang w:val="en-AU"/>
        </w:rPr>
        <w:t xml:space="preserve">opportunities for abating climate change and reducing gender inequality. This requires more alternatives to fossil fuels (beyond hydrogen), investments in the renewable energy sector, and support for female </w:t>
      </w:r>
      <w:r w:rsidR="002C2DEC">
        <w:rPr>
          <w:sz w:val="24"/>
          <w:szCs w:val="24"/>
          <w:lang w:val="en-AU"/>
        </w:rPr>
        <w:t>apprenticeships and jobs</w:t>
      </w:r>
      <w:r w:rsidR="005B3E38">
        <w:rPr>
          <w:sz w:val="24"/>
          <w:szCs w:val="24"/>
          <w:lang w:val="en-AU"/>
        </w:rPr>
        <w:t xml:space="preserve"> in the energy sector.</w:t>
      </w:r>
    </w:p>
    <w:p w14:paraId="1879391F" w14:textId="77777777" w:rsidR="008929D1" w:rsidRPr="008929D1" w:rsidRDefault="008929D1" w:rsidP="006579B3">
      <w:pPr>
        <w:pStyle w:val="ListParagraph"/>
        <w:spacing w:line="240" w:lineRule="auto"/>
        <w:jc w:val="both"/>
        <w:rPr>
          <w:sz w:val="24"/>
          <w:szCs w:val="24"/>
          <w:lang w:val="en-AU"/>
        </w:rPr>
      </w:pPr>
    </w:p>
    <w:p w14:paraId="6E5EB0A5" w14:textId="7F43D81E" w:rsidR="008929D1" w:rsidRDefault="008929D1" w:rsidP="006579B3">
      <w:pPr>
        <w:pStyle w:val="ListParagraph"/>
        <w:numPr>
          <w:ilvl w:val="0"/>
          <w:numId w:val="26"/>
        </w:numPr>
        <w:spacing w:line="240" w:lineRule="auto"/>
        <w:jc w:val="both"/>
        <w:rPr>
          <w:sz w:val="24"/>
          <w:szCs w:val="24"/>
          <w:lang w:val="en-AU"/>
        </w:rPr>
      </w:pPr>
      <w:r>
        <w:rPr>
          <w:sz w:val="24"/>
          <w:szCs w:val="24"/>
          <w:lang w:val="en-AU"/>
        </w:rPr>
        <w:t xml:space="preserve">Being faced with a gendered climate crisis, NFAW recommends that the government takes serious actions on </w:t>
      </w:r>
      <w:r w:rsidRPr="0023120C">
        <w:rPr>
          <w:sz w:val="24"/>
          <w:szCs w:val="24"/>
          <w:lang w:val="en-AU"/>
        </w:rPr>
        <w:t>climate change by committing to net-zero emissions by 2050, phasing-out coal, and supporting carbon-free technologies to produce steel, cement, and ammonia</w:t>
      </w:r>
      <w:r>
        <w:rPr>
          <w:sz w:val="24"/>
          <w:szCs w:val="24"/>
          <w:lang w:val="en-AU"/>
        </w:rPr>
        <w:t>.</w:t>
      </w:r>
    </w:p>
    <w:p w14:paraId="7D59A2FF" w14:textId="77777777" w:rsidR="008929D1" w:rsidRPr="008929D1" w:rsidRDefault="008929D1" w:rsidP="008929D1">
      <w:pPr>
        <w:pStyle w:val="ListParagraph"/>
        <w:rPr>
          <w:sz w:val="24"/>
          <w:szCs w:val="24"/>
          <w:lang w:val="en-AU"/>
        </w:rPr>
      </w:pPr>
    </w:p>
    <w:p w14:paraId="0F493242" w14:textId="37C2BDCF" w:rsidR="00EB5575" w:rsidRPr="006579B3" w:rsidRDefault="00027E4C" w:rsidP="006579B3">
      <w:pPr>
        <w:pStyle w:val="Heading1"/>
      </w:pPr>
      <w:r w:rsidRPr="006579B3">
        <w:t>R</w:t>
      </w:r>
      <w:r w:rsidR="008725FD" w:rsidRPr="006579B3">
        <w:t>eferences</w:t>
      </w:r>
    </w:p>
    <w:bookmarkEnd w:id="0"/>
    <w:p w14:paraId="259AEB41" w14:textId="0CF24008" w:rsidR="00EB5575" w:rsidRPr="00814BDF" w:rsidRDefault="00F737A3" w:rsidP="002C2DEC">
      <w:pPr>
        <w:spacing w:before="240"/>
        <w:rPr>
          <w:lang w:val="en-AU"/>
        </w:rPr>
      </w:pPr>
      <w:r w:rsidRPr="00814BDF">
        <w:rPr>
          <w:lang w:val="en-AU"/>
        </w:rPr>
        <w:t xml:space="preserve">ARENA. (2020) ARENA welcomes new funding. Retrieved from </w:t>
      </w:r>
      <w:hyperlink r:id="rId17" w:history="1">
        <w:r w:rsidRPr="00814BDF">
          <w:rPr>
            <w:rStyle w:val="Hyperlink"/>
            <w:lang w:val="en-AU"/>
          </w:rPr>
          <w:t>https://arena.gov.au/news/arena-welcomes-new-funding/</w:t>
        </w:r>
      </w:hyperlink>
    </w:p>
    <w:p w14:paraId="2F8D1EC2" w14:textId="50E531AB" w:rsidR="00814BDF" w:rsidRPr="00814BDF" w:rsidRDefault="00814BDF" w:rsidP="00F737A3">
      <w:pPr>
        <w:rPr>
          <w:lang w:val="en-AU"/>
        </w:rPr>
      </w:pPr>
      <w:r w:rsidRPr="00814BDF">
        <w:rPr>
          <w:lang w:val="en-AU"/>
        </w:rPr>
        <w:t xml:space="preserve">Ballew, M., Marlon, J., Leiserowitz, A., &amp; </w:t>
      </w:r>
      <w:proofErr w:type="spellStart"/>
      <w:r w:rsidRPr="00814BDF">
        <w:rPr>
          <w:lang w:val="en-AU"/>
        </w:rPr>
        <w:t>Maibach</w:t>
      </w:r>
      <w:proofErr w:type="spellEnd"/>
      <w:r w:rsidRPr="00814BDF">
        <w:rPr>
          <w:lang w:val="en-AU"/>
        </w:rPr>
        <w:t xml:space="preserve">, E. (2018) Gender differences in public understanding of climate change. Yale Program on Climate Change Communication. Climate Note, Nov. 20. Retrieved from </w:t>
      </w:r>
      <w:hyperlink r:id="rId18" w:history="1">
        <w:r w:rsidRPr="00814BDF">
          <w:rPr>
            <w:rStyle w:val="Hyperlink"/>
            <w:lang w:val="en-AU"/>
          </w:rPr>
          <w:t>https://climatecommunication.yale.edu/publications/gender-differences-in-public-understanding-of-climate-change/</w:t>
        </w:r>
      </w:hyperlink>
    </w:p>
    <w:p w14:paraId="4487F7C3" w14:textId="2E9BF184" w:rsidR="00F737A3" w:rsidRPr="00814BDF" w:rsidRDefault="00F737A3" w:rsidP="00F737A3">
      <w:pPr>
        <w:rPr>
          <w:lang w:val="en-AU"/>
        </w:rPr>
      </w:pPr>
      <w:r w:rsidRPr="00814BDF">
        <w:rPr>
          <w:lang w:val="en-AU"/>
        </w:rPr>
        <w:t>Commonwealth of Australia (2020), Budget Paper No. 2: Budget Measures 2020-21.</w:t>
      </w:r>
    </w:p>
    <w:p w14:paraId="0357270F" w14:textId="16743E4F" w:rsidR="00E66E07" w:rsidRPr="00814BDF" w:rsidRDefault="00E66E07" w:rsidP="00F737A3">
      <w:pPr>
        <w:rPr>
          <w:lang w:val="en-AU"/>
        </w:rPr>
      </w:pPr>
      <w:r w:rsidRPr="00814BDF">
        <w:rPr>
          <w:lang w:val="en-AU"/>
        </w:rPr>
        <w:t>Commonwealth of Australia (2020), Technology Investment Roadmap. First Low Emissions Technology Statement, September 2020.</w:t>
      </w:r>
    </w:p>
    <w:p w14:paraId="7A150ED8" w14:textId="7A64B8DD" w:rsidR="00814BDF" w:rsidRPr="00814BDF" w:rsidRDefault="00414BA4" w:rsidP="00F737A3">
      <w:pPr>
        <w:rPr>
          <w:lang w:val="en-AU"/>
        </w:rPr>
      </w:pPr>
      <w:r w:rsidRPr="00814BDF">
        <w:rPr>
          <w:lang w:val="en-AU"/>
        </w:rPr>
        <w:t xml:space="preserve">IRENA (2019), Renewable Energy and Jobs – Annual Review 2019. </w:t>
      </w:r>
      <w:hyperlink r:id="rId19" w:history="1">
        <w:r w:rsidRPr="00814BDF">
          <w:rPr>
            <w:rStyle w:val="Hyperlink"/>
            <w:lang w:val="en-AU"/>
          </w:rPr>
          <w:t>https://www.irena.org/publications/2019/Jun/Renewable-Energy-and-Jobs-Annual-Review-2019</w:t>
        </w:r>
      </w:hyperlink>
      <w:r w:rsidRPr="00814BDF">
        <w:rPr>
          <w:lang w:val="en-AU"/>
        </w:rPr>
        <w:t xml:space="preserve"> </w:t>
      </w:r>
    </w:p>
    <w:sectPr w:rsidR="00814BDF" w:rsidRPr="00814BDF" w:rsidSect="008E6403">
      <w:footerReference w:type="default" r:id="rId20"/>
      <w:headerReference w:type="first" r:id="rId21"/>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0C6F5" w14:textId="77777777" w:rsidR="00FF3709" w:rsidRDefault="00FF3709" w:rsidP="00855982">
      <w:pPr>
        <w:spacing w:after="0" w:line="240" w:lineRule="auto"/>
      </w:pPr>
      <w:r>
        <w:separator/>
      </w:r>
    </w:p>
  </w:endnote>
  <w:endnote w:type="continuationSeparator" w:id="0">
    <w:p w14:paraId="0477334D" w14:textId="77777777" w:rsidR="00FF3709" w:rsidRDefault="00FF3709"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6815D31F" w:rsidR="00855982" w:rsidRDefault="00855982">
        <w:pPr>
          <w:pStyle w:val="Footer"/>
        </w:pPr>
        <w:r>
          <w:fldChar w:fldCharType="begin"/>
        </w:r>
        <w:r>
          <w:instrText xml:space="preserve"> PAGE   \* MERGEFORMAT </w:instrText>
        </w:r>
        <w:r>
          <w:fldChar w:fldCharType="separate"/>
        </w:r>
        <w:r w:rsidR="002C2DE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B3080" w14:textId="77777777" w:rsidR="00FF3709" w:rsidRDefault="00FF3709" w:rsidP="00855982">
      <w:pPr>
        <w:spacing w:after="0" w:line="240" w:lineRule="auto"/>
      </w:pPr>
      <w:r>
        <w:separator/>
      </w:r>
    </w:p>
  </w:footnote>
  <w:footnote w:type="continuationSeparator" w:id="0">
    <w:p w14:paraId="04499EAE" w14:textId="77777777" w:rsidR="00FF3709" w:rsidRDefault="00FF3709"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6B1980" w:rsidRDefault="006B1980" w:rsidP="006B1980">
    <w:pPr>
      <w:pStyle w:val="Header"/>
      <w:jc w:val="center"/>
    </w:pPr>
    <w:r w:rsidRPr="00AA56E0">
      <w:rPr>
        <w:noProof/>
        <w:lang w:val="en-AU" w:eastAsia="en-AU"/>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6" w15:restartNumberingAfterBreak="0">
    <w:nsid w:val="32BD4764"/>
    <w:multiLevelType w:val="multilevel"/>
    <w:tmpl w:val="F71E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73344"/>
    <w:multiLevelType w:val="multilevel"/>
    <w:tmpl w:val="FA3A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C20049"/>
    <w:multiLevelType w:val="multilevel"/>
    <w:tmpl w:val="5ED8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9A141F"/>
    <w:multiLevelType w:val="hybridMultilevel"/>
    <w:tmpl w:val="0A6C2D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0"/>
  </w:num>
  <w:num w:numId="4">
    <w:abstractNumId w:val="2"/>
  </w:num>
  <w:num w:numId="5">
    <w:abstractNumId w:val="19"/>
  </w:num>
  <w:num w:numId="6">
    <w:abstractNumId w:val="14"/>
  </w:num>
  <w:num w:numId="7">
    <w:abstractNumId w:val="10"/>
  </w:num>
  <w:num w:numId="8">
    <w:abstractNumId w:val="23"/>
  </w:num>
  <w:num w:numId="9">
    <w:abstractNumId w:val="16"/>
  </w:num>
  <w:num w:numId="10">
    <w:abstractNumId w:val="17"/>
  </w:num>
  <w:num w:numId="11">
    <w:abstractNumId w:val="8"/>
  </w:num>
  <w:num w:numId="12">
    <w:abstractNumId w:val="18"/>
  </w:num>
  <w:num w:numId="13">
    <w:abstractNumId w:val="3"/>
  </w:num>
  <w:num w:numId="14">
    <w:abstractNumId w:val="4"/>
  </w:num>
  <w:num w:numId="15">
    <w:abstractNumId w:val="11"/>
  </w:num>
  <w:num w:numId="16">
    <w:abstractNumId w:val="9"/>
  </w:num>
  <w:num w:numId="17">
    <w:abstractNumId w:val="5"/>
  </w:num>
  <w:num w:numId="18">
    <w:abstractNumId w:val="1"/>
  </w:num>
  <w:num w:numId="19">
    <w:abstractNumId w:val="0"/>
  </w:num>
  <w:num w:numId="20">
    <w:abstractNumId w:val="22"/>
  </w:num>
  <w:num w:numId="21">
    <w:abstractNumId w:val="12"/>
  </w:num>
  <w:num w:numId="22">
    <w:abstractNumId w:val="7"/>
  </w:num>
  <w:num w:numId="23">
    <w:abstractNumId w:val="6"/>
  </w:num>
  <w:num w:numId="24">
    <w:abstractNumId w:val="13"/>
  </w:num>
  <w:num w:numId="25">
    <w:abstractNumId w:val="21"/>
  </w:num>
  <w:num w:numId="2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5F2D"/>
    <w:rsid w:val="000159C0"/>
    <w:rsid w:val="0002534D"/>
    <w:rsid w:val="00027E4C"/>
    <w:rsid w:val="00031306"/>
    <w:rsid w:val="00033A96"/>
    <w:rsid w:val="00034992"/>
    <w:rsid w:val="000546D0"/>
    <w:rsid w:val="00080FB5"/>
    <w:rsid w:val="0008464C"/>
    <w:rsid w:val="00084B29"/>
    <w:rsid w:val="00093D1C"/>
    <w:rsid w:val="000949CE"/>
    <w:rsid w:val="000A2E1D"/>
    <w:rsid w:val="000B1A5B"/>
    <w:rsid w:val="000C01B6"/>
    <w:rsid w:val="000C302D"/>
    <w:rsid w:val="000C4760"/>
    <w:rsid w:val="000D3020"/>
    <w:rsid w:val="000D671D"/>
    <w:rsid w:val="00103472"/>
    <w:rsid w:val="001242DB"/>
    <w:rsid w:val="00144281"/>
    <w:rsid w:val="0014457A"/>
    <w:rsid w:val="00146D67"/>
    <w:rsid w:val="001510DE"/>
    <w:rsid w:val="001614E3"/>
    <w:rsid w:val="0016388B"/>
    <w:rsid w:val="0016484A"/>
    <w:rsid w:val="00170232"/>
    <w:rsid w:val="00174159"/>
    <w:rsid w:val="001767EC"/>
    <w:rsid w:val="00190052"/>
    <w:rsid w:val="001A1D8D"/>
    <w:rsid w:val="001B055F"/>
    <w:rsid w:val="001B501A"/>
    <w:rsid w:val="001D4362"/>
    <w:rsid w:val="001D5618"/>
    <w:rsid w:val="001E67A6"/>
    <w:rsid w:val="001E6C0E"/>
    <w:rsid w:val="001F0224"/>
    <w:rsid w:val="002126C9"/>
    <w:rsid w:val="00217A8D"/>
    <w:rsid w:val="002206D5"/>
    <w:rsid w:val="00226686"/>
    <w:rsid w:val="0023120C"/>
    <w:rsid w:val="002325C2"/>
    <w:rsid w:val="002351F3"/>
    <w:rsid w:val="00236573"/>
    <w:rsid w:val="002500F8"/>
    <w:rsid w:val="00252B26"/>
    <w:rsid w:val="002672B6"/>
    <w:rsid w:val="0026787E"/>
    <w:rsid w:val="00280EF7"/>
    <w:rsid w:val="00282911"/>
    <w:rsid w:val="00282B0D"/>
    <w:rsid w:val="00287E3A"/>
    <w:rsid w:val="002939B6"/>
    <w:rsid w:val="00297C09"/>
    <w:rsid w:val="002B4FBD"/>
    <w:rsid w:val="002B79E9"/>
    <w:rsid w:val="002C2DEC"/>
    <w:rsid w:val="002C6970"/>
    <w:rsid w:val="002D1DFD"/>
    <w:rsid w:val="00311878"/>
    <w:rsid w:val="00336CD9"/>
    <w:rsid w:val="0033716C"/>
    <w:rsid w:val="003457B8"/>
    <w:rsid w:val="0034769C"/>
    <w:rsid w:val="003519F6"/>
    <w:rsid w:val="00354FB2"/>
    <w:rsid w:val="0036219E"/>
    <w:rsid w:val="00363CB3"/>
    <w:rsid w:val="003661F5"/>
    <w:rsid w:val="00370F9B"/>
    <w:rsid w:val="003723E8"/>
    <w:rsid w:val="003844CF"/>
    <w:rsid w:val="00392CED"/>
    <w:rsid w:val="00395B49"/>
    <w:rsid w:val="003B02EC"/>
    <w:rsid w:val="003B47AE"/>
    <w:rsid w:val="003B5256"/>
    <w:rsid w:val="003B5C46"/>
    <w:rsid w:val="003C635B"/>
    <w:rsid w:val="003C6BB3"/>
    <w:rsid w:val="003D59C7"/>
    <w:rsid w:val="003E4DD9"/>
    <w:rsid w:val="00414BA4"/>
    <w:rsid w:val="00416E27"/>
    <w:rsid w:val="00423F66"/>
    <w:rsid w:val="00426168"/>
    <w:rsid w:val="004312B3"/>
    <w:rsid w:val="00444743"/>
    <w:rsid w:val="0045338D"/>
    <w:rsid w:val="00456775"/>
    <w:rsid w:val="0046745E"/>
    <w:rsid w:val="004728E3"/>
    <w:rsid w:val="00480035"/>
    <w:rsid w:val="0048145A"/>
    <w:rsid w:val="004818B8"/>
    <w:rsid w:val="00490AD9"/>
    <w:rsid w:val="00492049"/>
    <w:rsid w:val="00495C0A"/>
    <w:rsid w:val="004B25FC"/>
    <w:rsid w:val="004E67B6"/>
    <w:rsid w:val="00501BD6"/>
    <w:rsid w:val="00504D76"/>
    <w:rsid w:val="00506E6E"/>
    <w:rsid w:val="00512F10"/>
    <w:rsid w:val="005156F4"/>
    <w:rsid w:val="00524481"/>
    <w:rsid w:val="005303E8"/>
    <w:rsid w:val="0053622A"/>
    <w:rsid w:val="0054474E"/>
    <w:rsid w:val="0056193F"/>
    <w:rsid w:val="00574165"/>
    <w:rsid w:val="00574733"/>
    <w:rsid w:val="00575029"/>
    <w:rsid w:val="00593089"/>
    <w:rsid w:val="0059328C"/>
    <w:rsid w:val="005B0A41"/>
    <w:rsid w:val="005B3E38"/>
    <w:rsid w:val="005B4639"/>
    <w:rsid w:val="005B6E1D"/>
    <w:rsid w:val="005C3032"/>
    <w:rsid w:val="005C594B"/>
    <w:rsid w:val="005D7A25"/>
    <w:rsid w:val="005E3B16"/>
    <w:rsid w:val="005F1F1A"/>
    <w:rsid w:val="00616631"/>
    <w:rsid w:val="00617028"/>
    <w:rsid w:val="0062240D"/>
    <w:rsid w:val="00635245"/>
    <w:rsid w:val="00650141"/>
    <w:rsid w:val="00655072"/>
    <w:rsid w:val="006579B3"/>
    <w:rsid w:val="0066640E"/>
    <w:rsid w:val="00677971"/>
    <w:rsid w:val="00682A71"/>
    <w:rsid w:val="00682E29"/>
    <w:rsid w:val="00690CB6"/>
    <w:rsid w:val="00693937"/>
    <w:rsid w:val="006A382D"/>
    <w:rsid w:val="006B1980"/>
    <w:rsid w:val="006B303B"/>
    <w:rsid w:val="006B6A5F"/>
    <w:rsid w:val="006D3387"/>
    <w:rsid w:val="006E1623"/>
    <w:rsid w:val="006E4190"/>
    <w:rsid w:val="006E7F3A"/>
    <w:rsid w:val="006F0623"/>
    <w:rsid w:val="006F42C3"/>
    <w:rsid w:val="00700E4D"/>
    <w:rsid w:val="0070134D"/>
    <w:rsid w:val="007047A5"/>
    <w:rsid w:val="00706D7D"/>
    <w:rsid w:val="00741E00"/>
    <w:rsid w:val="00742C60"/>
    <w:rsid w:val="0075055B"/>
    <w:rsid w:val="00775D3E"/>
    <w:rsid w:val="007766C0"/>
    <w:rsid w:val="00777692"/>
    <w:rsid w:val="00777F95"/>
    <w:rsid w:val="007833A7"/>
    <w:rsid w:val="00784AA0"/>
    <w:rsid w:val="00792081"/>
    <w:rsid w:val="007957F1"/>
    <w:rsid w:val="007A2A66"/>
    <w:rsid w:val="007B7B87"/>
    <w:rsid w:val="007C7A88"/>
    <w:rsid w:val="007D1493"/>
    <w:rsid w:val="007E24D4"/>
    <w:rsid w:val="007E39C8"/>
    <w:rsid w:val="007F4587"/>
    <w:rsid w:val="007F61E8"/>
    <w:rsid w:val="007F7DFA"/>
    <w:rsid w:val="00805265"/>
    <w:rsid w:val="00805B56"/>
    <w:rsid w:val="00814BDF"/>
    <w:rsid w:val="00817634"/>
    <w:rsid w:val="00820223"/>
    <w:rsid w:val="0085031F"/>
    <w:rsid w:val="00855982"/>
    <w:rsid w:val="008625DF"/>
    <w:rsid w:val="00862832"/>
    <w:rsid w:val="008714DD"/>
    <w:rsid w:val="008725FD"/>
    <w:rsid w:val="00875CA1"/>
    <w:rsid w:val="008929D1"/>
    <w:rsid w:val="0089404B"/>
    <w:rsid w:val="008A2277"/>
    <w:rsid w:val="008A57E3"/>
    <w:rsid w:val="008D032C"/>
    <w:rsid w:val="008E06A4"/>
    <w:rsid w:val="008E6403"/>
    <w:rsid w:val="008E7C37"/>
    <w:rsid w:val="0090478A"/>
    <w:rsid w:val="009132B8"/>
    <w:rsid w:val="00916A5D"/>
    <w:rsid w:val="00917926"/>
    <w:rsid w:val="00917DFD"/>
    <w:rsid w:val="00941FBD"/>
    <w:rsid w:val="00942A24"/>
    <w:rsid w:val="00945C0B"/>
    <w:rsid w:val="00947E91"/>
    <w:rsid w:val="00952796"/>
    <w:rsid w:val="00953327"/>
    <w:rsid w:val="00957067"/>
    <w:rsid w:val="00960E83"/>
    <w:rsid w:val="00974F1E"/>
    <w:rsid w:val="0098396D"/>
    <w:rsid w:val="009854A6"/>
    <w:rsid w:val="00994683"/>
    <w:rsid w:val="009974BD"/>
    <w:rsid w:val="009A3F05"/>
    <w:rsid w:val="009B4258"/>
    <w:rsid w:val="009B71FF"/>
    <w:rsid w:val="009B7A27"/>
    <w:rsid w:val="009C0EC7"/>
    <w:rsid w:val="009D12EC"/>
    <w:rsid w:val="009E214C"/>
    <w:rsid w:val="009E5B10"/>
    <w:rsid w:val="009E7893"/>
    <w:rsid w:val="009F0086"/>
    <w:rsid w:val="00A10484"/>
    <w:rsid w:val="00A108CF"/>
    <w:rsid w:val="00A17A5A"/>
    <w:rsid w:val="00A423CB"/>
    <w:rsid w:val="00A441AF"/>
    <w:rsid w:val="00A60CB4"/>
    <w:rsid w:val="00A67B8A"/>
    <w:rsid w:val="00A7036E"/>
    <w:rsid w:val="00A7308F"/>
    <w:rsid w:val="00A807BE"/>
    <w:rsid w:val="00A85ECC"/>
    <w:rsid w:val="00A9014C"/>
    <w:rsid w:val="00A9329E"/>
    <w:rsid w:val="00A94495"/>
    <w:rsid w:val="00AA632E"/>
    <w:rsid w:val="00AB0A29"/>
    <w:rsid w:val="00AB46E4"/>
    <w:rsid w:val="00AC60A9"/>
    <w:rsid w:val="00AD53EA"/>
    <w:rsid w:val="00B05A9D"/>
    <w:rsid w:val="00B155EE"/>
    <w:rsid w:val="00B22F7A"/>
    <w:rsid w:val="00B444D6"/>
    <w:rsid w:val="00B47970"/>
    <w:rsid w:val="00B52649"/>
    <w:rsid w:val="00B52715"/>
    <w:rsid w:val="00B66F99"/>
    <w:rsid w:val="00B72011"/>
    <w:rsid w:val="00B762FB"/>
    <w:rsid w:val="00B809F4"/>
    <w:rsid w:val="00B825BB"/>
    <w:rsid w:val="00B91540"/>
    <w:rsid w:val="00BA449C"/>
    <w:rsid w:val="00BA69CD"/>
    <w:rsid w:val="00BC1735"/>
    <w:rsid w:val="00BC760B"/>
    <w:rsid w:val="00BC7A1D"/>
    <w:rsid w:val="00BD4C71"/>
    <w:rsid w:val="00BE1346"/>
    <w:rsid w:val="00BF1CE2"/>
    <w:rsid w:val="00BF57E2"/>
    <w:rsid w:val="00C03E8E"/>
    <w:rsid w:val="00C2158E"/>
    <w:rsid w:val="00C253E1"/>
    <w:rsid w:val="00C35338"/>
    <w:rsid w:val="00C36E81"/>
    <w:rsid w:val="00C45B5F"/>
    <w:rsid w:val="00C54818"/>
    <w:rsid w:val="00C609AD"/>
    <w:rsid w:val="00C6191E"/>
    <w:rsid w:val="00C8509C"/>
    <w:rsid w:val="00CA7F00"/>
    <w:rsid w:val="00CB648E"/>
    <w:rsid w:val="00CB762A"/>
    <w:rsid w:val="00CC00D9"/>
    <w:rsid w:val="00CD7520"/>
    <w:rsid w:val="00CF0FDE"/>
    <w:rsid w:val="00D00BB3"/>
    <w:rsid w:val="00D03596"/>
    <w:rsid w:val="00D041F4"/>
    <w:rsid w:val="00D054BA"/>
    <w:rsid w:val="00D16871"/>
    <w:rsid w:val="00D42211"/>
    <w:rsid w:val="00D44275"/>
    <w:rsid w:val="00D45867"/>
    <w:rsid w:val="00D4612F"/>
    <w:rsid w:val="00D553AA"/>
    <w:rsid w:val="00D6516F"/>
    <w:rsid w:val="00D749C7"/>
    <w:rsid w:val="00D9014F"/>
    <w:rsid w:val="00DA203A"/>
    <w:rsid w:val="00DA6ECD"/>
    <w:rsid w:val="00DA7106"/>
    <w:rsid w:val="00DB1488"/>
    <w:rsid w:val="00DB4EAD"/>
    <w:rsid w:val="00DC4BBE"/>
    <w:rsid w:val="00DC5777"/>
    <w:rsid w:val="00DE3FFC"/>
    <w:rsid w:val="00E02ADA"/>
    <w:rsid w:val="00E053BC"/>
    <w:rsid w:val="00E13EDA"/>
    <w:rsid w:val="00E22786"/>
    <w:rsid w:val="00E262DE"/>
    <w:rsid w:val="00E31A81"/>
    <w:rsid w:val="00E33D53"/>
    <w:rsid w:val="00E517E2"/>
    <w:rsid w:val="00E53BDA"/>
    <w:rsid w:val="00E602FC"/>
    <w:rsid w:val="00E64855"/>
    <w:rsid w:val="00E651A1"/>
    <w:rsid w:val="00E66E07"/>
    <w:rsid w:val="00E75A36"/>
    <w:rsid w:val="00E84E9C"/>
    <w:rsid w:val="00EB5575"/>
    <w:rsid w:val="00EB56EF"/>
    <w:rsid w:val="00EC21F5"/>
    <w:rsid w:val="00EC35CE"/>
    <w:rsid w:val="00EE7C51"/>
    <w:rsid w:val="00EF2297"/>
    <w:rsid w:val="00F00BCD"/>
    <w:rsid w:val="00F04A2B"/>
    <w:rsid w:val="00F31E75"/>
    <w:rsid w:val="00F324D3"/>
    <w:rsid w:val="00F32EC9"/>
    <w:rsid w:val="00F428E3"/>
    <w:rsid w:val="00F56E08"/>
    <w:rsid w:val="00F737A3"/>
    <w:rsid w:val="00F76754"/>
    <w:rsid w:val="00F82509"/>
    <w:rsid w:val="00F82DB7"/>
    <w:rsid w:val="00F92286"/>
    <w:rsid w:val="00F96E3D"/>
    <w:rsid w:val="00FB3878"/>
    <w:rsid w:val="00FB4B39"/>
    <w:rsid w:val="00FB6BB6"/>
    <w:rsid w:val="00FD12F5"/>
    <w:rsid w:val="00FD262C"/>
    <w:rsid w:val="00FD3770"/>
    <w:rsid w:val="00FE5D20"/>
    <w:rsid w:val="00FF25D0"/>
    <w:rsid w:val="00FF370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character" w:customStyle="1" w:styleId="UnresolvedMention2">
    <w:name w:val="Unresolved Mention2"/>
    <w:basedOn w:val="DefaultParagraphFont"/>
    <w:uiPriority w:val="99"/>
    <w:semiHidden/>
    <w:unhideWhenUsed/>
    <w:rsid w:val="0023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12410">
      <w:bodyDiv w:val="1"/>
      <w:marLeft w:val="0"/>
      <w:marRight w:val="0"/>
      <w:marTop w:val="0"/>
      <w:marBottom w:val="0"/>
      <w:divBdr>
        <w:top w:val="none" w:sz="0" w:space="0" w:color="auto"/>
        <w:left w:val="none" w:sz="0" w:space="0" w:color="auto"/>
        <w:bottom w:val="none" w:sz="0" w:space="0" w:color="auto"/>
        <w:right w:val="none" w:sz="0" w:space="0" w:color="auto"/>
      </w:divBdr>
    </w:div>
    <w:div w:id="553854927">
      <w:bodyDiv w:val="1"/>
      <w:marLeft w:val="0"/>
      <w:marRight w:val="0"/>
      <w:marTop w:val="0"/>
      <w:marBottom w:val="0"/>
      <w:divBdr>
        <w:top w:val="none" w:sz="0" w:space="0" w:color="auto"/>
        <w:left w:val="none" w:sz="0" w:space="0" w:color="auto"/>
        <w:bottom w:val="none" w:sz="0" w:space="0" w:color="auto"/>
        <w:right w:val="none" w:sz="0" w:space="0" w:color="auto"/>
      </w:divBdr>
    </w:div>
    <w:div w:id="746726111">
      <w:bodyDiv w:val="1"/>
      <w:marLeft w:val="0"/>
      <w:marRight w:val="0"/>
      <w:marTop w:val="0"/>
      <w:marBottom w:val="0"/>
      <w:divBdr>
        <w:top w:val="none" w:sz="0" w:space="0" w:color="auto"/>
        <w:left w:val="none" w:sz="0" w:space="0" w:color="auto"/>
        <w:bottom w:val="none" w:sz="0" w:space="0" w:color="auto"/>
        <w:right w:val="none" w:sz="0" w:space="0" w:color="auto"/>
      </w:divBdr>
    </w:div>
    <w:div w:id="953171822">
      <w:bodyDiv w:val="1"/>
      <w:marLeft w:val="0"/>
      <w:marRight w:val="0"/>
      <w:marTop w:val="0"/>
      <w:marBottom w:val="0"/>
      <w:divBdr>
        <w:top w:val="none" w:sz="0" w:space="0" w:color="auto"/>
        <w:left w:val="none" w:sz="0" w:space="0" w:color="auto"/>
        <w:bottom w:val="none" w:sz="0" w:space="0" w:color="auto"/>
        <w:right w:val="none" w:sz="0" w:space="0" w:color="auto"/>
      </w:divBdr>
    </w:div>
    <w:div w:id="1070151576">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312055893">
      <w:bodyDiv w:val="1"/>
      <w:marLeft w:val="0"/>
      <w:marRight w:val="0"/>
      <w:marTop w:val="0"/>
      <w:marBottom w:val="0"/>
      <w:divBdr>
        <w:top w:val="none" w:sz="0" w:space="0" w:color="auto"/>
        <w:left w:val="none" w:sz="0" w:space="0" w:color="auto"/>
        <w:bottom w:val="none" w:sz="0" w:space="0" w:color="auto"/>
        <w:right w:val="none" w:sz="0" w:space="0" w:color="auto"/>
      </w:divBdr>
    </w:div>
    <w:div w:id="1560507788">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760246976">
      <w:bodyDiv w:val="1"/>
      <w:marLeft w:val="0"/>
      <w:marRight w:val="0"/>
      <w:marTop w:val="0"/>
      <w:marBottom w:val="0"/>
      <w:divBdr>
        <w:top w:val="none" w:sz="0" w:space="0" w:color="auto"/>
        <w:left w:val="none" w:sz="0" w:space="0" w:color="auto"/>
        <w:bottom w:val="none" w:sz="0" w:space="0" w:color="auto"/>
        <w:right w:val="none" w:sz="0" w:space="0" w:color="auto"/>
      </w:divBdr>
    </w:div>
    <w:div w:id="1835416610">
      <w:bodyDiv w:val="1"/>
      <w:marLeft w:val="0"/>
      <w:marRight w:val="0"/>
      <w:marTop w:val="0"/>
      <w:marBottom w:val="0"/>
      <w:divBdr>
        <w:top w:val="none" w:sz="0" w:space="0" w:color="auto"/>
        <w:left w:val="none" w:sz="0" w:space="0" w:color="auto"/>
        <w:bottom w:val="none" w:sz="0" w:space="0" w:color="auto"/>
        <w:right w:val="none" w:sz="0" w:space="0" w:color="auto"/>
      </w:divBdr>
    </w:div>
    <w:div w:id="20440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globalchange/GenderClimateChangeHealthfinal.pdf?ua=1" TargetMode="External"/><Relationship Id="rId18" Type="http://schemas.openxmlformats.org/officeDocument/2006/relationships/hyperlink" Target="https://climatecommunication.yale.edu/publications/gender-differences-in-public-understanding-of-climate-chang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nfaw.org/wp-content/uploads/2020/07/climatechangeandhealth-copy.pdf" TargetMode="External"/><Relationship Id="rId17" Type="http://schemas.openxmlformats.org/officeDocument/2006/relationships/hyperlink" Target="https://arena.gov.au/news/arena-welcomes-new-funding/" TargetMode="External"/><Relationship Id="rId2" Type="http://schemas.openxmlformats.org/officeDocument/2006/relationships/customXml" Target="../customXml/item2.xml"/><Relationship Id="rId16" Type="http://schemas.openxmlformats.org/officeDocument/2006/relationships/hyperlink" Target="https://www.irena.org/publications/2019/Jun/Renewable-Energy-and-Jobs-Annual-Review-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ena.gov.au/assets/2018/12/the-australian-publics-perception-of-hydrogen-for-energy.pdf" TargetMode="External"/><Relationship Id="rId5" Type="http://schemas.openxmlformats.org/officeDocument/2006/relationships/numbering" Target="numbering.xml"/><Relationship Id="rId15" Type="http://schemas.openxmlformats.org/officeDocument/2006/relationships/hyperlink" Target="https://www.iucn.org/resources/issues-briefs/gender-and-climate-chang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rena.org/publications/2019/Jun/Renewable-Energy-and-Jobs-Annual-Review-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unwomen.org/-/media/field%20office%20eseasia/docs/publications/2016/12/deliverable%207-english.pdf?v=1&amp;d=20161208T09543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8FCC8-361A-4BF1-A985-C3A6517B1543}">
  <ds:schemaRefs>
    <ds:schemaRef ds:uri="http://schemas.openxmlformats.org/officeDocument/2006/bibliography"/>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63671810-3EF7-4C8E-BCBA-248ABE2BAB39}">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Template.dotx</Template>
  <TotalTime>3</TotalTime>
  <Pages>4</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energy</dc:title>
  <dc:creator>Kathy MacDermott</dc:creator>
  <cp:lastModifiedBy>Jennifer Bushell</cp:lastModifiedBy>
  <cp:revision>4</cp:revision>
  <cp:lastPrinted>2020-10-15T04:34:00Z</cp:lastPrinted>
  <dcterms:created xsi:type="dcterms:W3CDTF">2020-10-15T04:32:00Z</dcterms:created>
  <dcterms:modified xsi:type="dcterms:W3CDTF">2020-10-15T04:34:00Z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